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rsidR="006E7756" w:rsidRDefault="006E7756" w:rsidP="008A590E">
      <w:pPr>
        <w:rPr>
          <w:rFonts w:ascii="Arial" w:hAnsi="Arial" w:cs="Arial"/>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006A74" w:rsidRDefault="00006A74"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01"/>
        <w:gridCol w:w="1501"/>
        <w:gridCol w:w="1501"/>
        <w:gridCol w:w="4874"/>
        <w:gridCol w:w="4573"/>
      </w:tblGrid>
      <w:tr w:rsidR="00932C2C" w:rsidRPr="000C0894" w:rsidTr="00FB378C">
        <w:trPr>
          <w:trHeight w:val="1701"/>
          <w:tblHeader/>
        </w:trPr>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rsidTr="00FB378C">
        <w:trPr>
          <w:trHeight w:val="1701"/>
        </w:trPr>
        <w:tc>
          <w:tcPr>
            <w:tcW w:w="538" w:type="pct"/>
            <w:vAlign w:val="center"/>
          </w:tcPr>
          <w:p w:rsidR="002158EA" w:rsidRPr="00DA6CC7" w:rsidRDefault="00DA6CC7" w:rsidP="00FB378C">
            <w:pPr>
              <w:pStyle w:val="Legenda"/>
              <w:spacing w:before="120" w:after="120"/>
              <w:jc w:val="center"/>
              <w:rPr>
                <w:rFonts w:cs="Arial"/>
                <w:color w:val="000000" w:themeColor="text1"/>
                <w:sz w:val="20"/>
                <w:szCs w:val="24"/>
              </w:rPr>
            </w:pPr>
            <w:r w:rsidRPr="00DA6CC7">
              <w:rPr>
                <w:rFonts w:cs="Arial"/>
                <w:color w:val="000000" w:themeColor="text1"/>
                <w:sz w:val="20"/>
                <w:szCs w:val="24"/>
              </w:rPr>
              <w:t>Pré-edital</w:t>
            </w:r>
          </w:p>
        </w:tc>
        <w:tc>
          <w:tcPr>
            <w:tcW w:w="538" w:type="pct"/>
            <w:vAlign w:val="center"/>
          </w:tcPr>
          <w:p w:rsidR="002158EA" w:rsidRPr="00DA6CC7" w:rsidRDefault="00932C2C" w:rsidP="00FB378C">
            <w:pPr>
              <w:pStyle w:val="Legenda"/>
              <w:spacing w:before="120" w:after="120"/>
              <w:jc w:val="center"/>
              <w:rPr>
                <w:rFonts w:cs="Arial"/>
                <w:color w:val="000000" w:themeColor="text1"/>
                <w:sz w:val="20"/>
                <w:szCs w:val="24"/>
              </w:rPr>
            </w:pPr>
            <w:r w:rsidRPr="00DA6CC7">
              <w:rPr>
                <w:rFonts w:cs="Arial"/>
                <w:color w:val="000000" w:themeColor="text1"/>
                <w:sz w:val="20"/>
                <w:szCs w:val="24"/>
              </w:rPr>
              <w:t>Alteração</w:t>
            </w:r>
          </w:p>
        </w:tc>
        <w:tc>
          <w:tcPr>
            <w:tcW w:w="538" w:type="pct"/>
            <w:vAlign w:val="center"/>
          </w:tcPr>
          <w:p w:rsidR="002158EA" w:rsidRPr="00DA6CC7" w:rsidRDefault="00DA6CC7" w:rsidP="00615A71">
            <w:pPr>
              <w:pStyle w:val="Legenda"/>
              <w:spacing w:before="120" w:after="120"/>
              <w:jc w:val="center"/>
              <w:rPr>
                <w:rFonts w:cs="Arial"/>
                <w:color w:val="000000" w:themeColor="text1"/>
                <w:sz w:val="20"/>
                <w:szCs w:val="24"/>
              </w:rPr>
            </w:pPr>
            <w:r w:rsidRPr="00DA6CC7">
              <w:rPr>
                <w:rFonts w:cs="Arial"/>
                <w:color w:val="000000" w:themeColor="text1"/>
                <w:sz w:val="20"/>
                <w:szCs w:val="24"/>
              </w:rPr>
              <w:t>Tabela 2</w:t>
            </w:r>
          </w:p>
        </w:tc>
        <w:tc>
          <w:tcPr>
            <w:tcW w:w="1747" w:type="pct"/>
            <w:vAlign w:val="center"/>
          </w:tcPr>
          <w:p w:rsidR="002158EA" w:rsidRPr="00DA6CC7" w:rsidRDefault="00993CF0" w:rsidP="00993CF0">
            <w:pPr>
              <w:pStyle w:val="Legenda"/>
              <w:spacing w:before="120" w:after="120"/>
              <w:jc w:val="center"/>
              <w:rPr>
                <w:rFonts w:cs="Arial"/>
                <w:color w:val="000000" w:themeColor="text1"/>
                <w:sz w:val="20"/>
                <w:szCs w:val="24"/>
              </w:rPr>
            </w:pPr>
            <w:r>
              <w:rPr>
                <w:rFonts w:cs="Arial"/>
                <w:color w:val="000000" w:themeColor="text1"/>
                <w:sz w:val="20"/>
                <w:szCs w:val="24"/>
              </w:rPr>
              <w:t>Coluna “P</w:t>
            </w:r>
            <w:r w:rsidR="00DA6CC7" w:rsidRPr="00DA6CC7">
              <w:rPr>
                <w:rFonts w:cs="Arial"/>
                <w:color w:val="000000" w:themeColor="text1"/>
                <w:sz w:val="20"/>
                <w:szCs w:val="24"/>
              </w:rPr>
              <w:t>agamento pela retenção de área (R$/km²/</w:t>
            </w:r>
            <w:proofErr w:type="gramStart"/>
            <w:r w:rsidR="00DA6CC7" w:rsidRPr="00DA6CC7">
              <w:rPr>
                <w:rFonts w:cs="Arial"/>
                <w:color w:val="000000" w:themeColor="text1"/>
                <w:sz w:val="20"/>
                <w:szCs w:val="24"/>
              </w:rPr>
              <w:t>ano)</w:t>
            </w:r>
            <w:r>
              <w:rPr>
                <w:rFonts w:cs="Arial"/>
                <w:color w:val="000000" w:themeColor="text1"/>
                <w:sz w:val="20"/>
                <w:szCs w:val="24"/>
              </w:rPr>
              <w:t>”</w:t>
            </w:r>
            <w:proofErr w:type="gramEnd"/>
            <w:r w:rsidR="00DA6CC7" w:rsidRPr="00DA6CC7">
              <w:rPr>
                <w:rFonts w:cs="Arial"/>
                <w:color w:val="000000" w:themeColor="text1"/>
                <w:sz w:val="20"/>
                <w:szCs w:val="24"/>
              </w:rPr>
              <w:t xml:space="preserve"> </w:t>
            </w:r>
            <w:r w:rsidR="002158EA" w:rsidRPr="00DA6CC7">
              <w:rPr>
                <w:rFonts w:cs="Arial"/>
                <w:color w:val="000000" w:themeColor="text1"/>
                <w:sz w:val="20"/>
                <w:szCs w:val="24"/>
              </w:rPr>
              <w:t>proposto</w:t>
            </w:r>
            <w:r>
              <w:rPr>
                <w:rFonts w:cs="Arial"/>
                <w:color w:val="000000" w:themeColor="text1"/>
                <w:sz w:val="20"/>
                <w:szCs w:val="24"/>
              </w:rPr>
              <w:t xml:space="preserve"> para os setores da</w:t>
            </w:r>
            <w:r w:rsidR="00DA6CC7" w:rsidRPr="00DA6CC7">
              <w:rPr>
                <w:rFonts w:cs="Arial"/>
                <w:color w:val="000000" w:themeColor="text1"/>
                <w:sz w:val="20"/>
                <w:szCs w:val="24"/>
              </w:rPr>
              <w:t xml:space="preserve"> Bacia do Parnaíba</w:t>
            </w:r>
            <w:r w:rsidR="002158EA" w:rsidRPr="00DA6CC7">
              <w:rPr>
                <w:rFonts w:cs="Arial"/>
                <w:color w:val="000000" w:themeColor="text1"/>
                <w:sz w:val="20"/>
                <w:szCs w:val="24"/>
              </w:rPr>
              <w:t>.</w:t>
            </w:r>
          </w:p>
        </w:tc>
        <w:tc>
          <w:tcPr>
            <w:tcW w:w="1639" w:type="pct"/>
            <w:vAlign w:val="center"/>
          </w:tcPr>
          <w:p w:rsidR="002158EA" w:rsidRDefault="00DA6CC7" w:rsidP="00993CF0">
            <w:pPr>
              <w:pStyle w:val="Legenda"/>
              <w:spacing w:before="120" w:after="120"/>
              <w:jc w:val="both"/>
              <w:rPr>
                <w:rFonts w:cs="Arial"/>
                <w:color w:val="000000" w:themeColor="text1"/>
                <w:sz w:val="20"/>
                <w:szCs w:val="24"/>
              </w:rPr>
            </w:pPr>
            <w:r w:rsidRPr="00DA6CC7">
              <w:rPr>
                <w:rFonts w:cs="Arial"/>
                <w:color w:val="000000" w:themeColor="text1"/>
                <w:sz w:val="20"/>
                <w:szCs w:val="24"/>
              </w:rPr>
              <w:t xml:space="preserve">Conforme explicitado pela Tabela 2, a Bacia do Parnaíba possui um modelo exploratório caracterizado como de </w:t>
            </w:r>
            <w:r w:rsidRPr="003A3766">
              <w:rPr>
                <w:rFonts w:cs="Arial"/>
                <w:color w:val="000000" w:themeColor="text1"/>
                <w:sz w:val="20"/>
                <w:szCs w:val="24"/>
                <w:u w:val="single"/>
              </w:rPr>
              <w:t>Nova Fronteira</w:t>
            </w:r>
            <w:r w:rsidRPr="00DA6CC7">
              <w:rPr>
                <w:rFonts w:cs="Arial"/>
                <w:color w:val="000000" w:themeColor="text1"/>
                <w:sz w:val="20"/>
                <w:szCs w:val="24"/>
              </w:rPr>
              <w:t>.</w:t>
            </w:r>
            <w:r w:rsidR="00A816D5">
              <w:rPr>
                <w:rFonts w:cs="Arial"/>
                <w:color w:val="000000" w:themeColor="text1"/>
                <w:sz w:val="20"/>
                <w:szCs w:val="24"/>
              </w:rPr>
              <w:t xml:space="preserve"> Uma vez considerada, pela própria ANP, </w:t>
            </w:r>
            <w:r w:rsidR="003A3766">
              <w:rPr>
                <w:rFonts w:cs="Arial"/>
                <w:color w:val="000000" w:themeColor="text1"/>
                <w:sz w:val="20"/>
                <w:szCs w:val="24"/>
              </w:rPr>
              <w:t>como</w:t>
            </w:r>
            <w:r>
              <w:rPr>
                <w:rFonts w:cs="Arial"/>
                <w:color w:val="000000" w:themeColor="text1"/>
                <w:sz w:val="20"/>
                <w:szCs w:val="24"/>
              </w:rPr>
              <w:t xml:space="preserve"> bacia de nova fronteira, a área dos blocos exploratórios oferecidos na 14ª </w:t>
            </w:r>
            <w:r w:rsidR="003A3766">
              <w:rPr>
                <w:rFonts w:cs="Arial"/>
                <w:color w:val="000000" w:themeColor="text1"/>
                <w:sz w:val="20"/>
                <w:szCs w:val="24"/>
              </w:rPr>
              <w:t xml:space="preserve">Rodada </w:t>
            </w:r>
            <w:r>
              <w:rPr>
                <w:rFonts w:cs="Arial"/>
                <w:color w:val="000000" w:themeColor="text1"/>
                <w:sz w:val="20"/>
                <w:szCs w:val="24"/>
              </w:rPr>
              <w:t>é significativamen</w:t>
            </w:r>
            <w:r w:rsidR="003A3766">
              <w:rPr>
                <w:rFonts w:cs="Arial"/>
                <w:color w:val="000000" w:themeColor="text1"/>
                <w:sz w:val="20"/>
                <w:szCs w:val="24"/>
              </w:rPr>
              <w:t xml:space="preserve">te maior que nas demais bacias, </w:t>
            </w:r>
            <w:r w:rsidR="00277571">
              <w:rPr>
                <w:rFonts w:cs="Arial"/>
                <w:color w:val="000000" w:themeColor="text1"/>
                <w:sz w:val="20"/>
                <w:szCs w:val="24"/>
              </w:rPr>
              <w:t>haja vista</w:t>
            </w:r>
            <w:r w:rsidR="003A3766">
              <w:rPr>
                <w:rFonts w:cs="Arial"/>
                <w:color w:val="000000" w:themeColor="text1"/>
                <w:sz w:val="20"/>
                <w:szCs w:val="24"/>
              </w:rPr>
              <w:t xml:space="preserve"> os elevados riscos envolvidos.</w:t>
            </w:r>
          </w:p>
          <w:p w:rsidR="003A3766" w:rsidRDefault="003A3766" w:rsidP="00993CF0">
            <w:pPr>
              <w:jc w:val="both"/>
            </w:pPr>
          </w:p>
          <w:p w:rsidR="003A3766" w:rsidRDefault="00776391" w:rsidP="00993CF0">
            <w:pPr>
              <w:jc w:val="both"/>
              <w:rPr>
                <w:rFonts w:ascii="Arial" w:hAnsi="Arial" w:cs="Arial"/>
                <w:color w:val="000000" w:themeColor="text1"/>
                <w:szCs w:val="24"/>
              </w:rPr>
            </w:pPr>
            <w:r>
              <w:rPr>
                <w:rFonts w:ascii="Arial" w:hAnsi="Arial" w:cs="Arial"/>
                <w:color w:val="000000" w:themeColor="text1"/>
                <w:szCs w:val="24"/>
              </w:rPr>
              <w:t>Ocorre que a B</w:t>
            </w:r>
            <w:r w:rsidR="003A3766" w:rsidRPr="003A3766">
              <w:rPr>
                <w:rFonts w:ascii="Arial" w:hAnsi="Arial" w:cs="Arial"/>
                <w:color w:val="000000" w:themeColor="text1"/>
                <w:szCs w:val="24"/>
              </w:rPr>
              <w:t>a</w:t>
            </w:r>
            <w:r w:rsidR="003A3766">
              <w:rPr>
                <w:rFonts w:ascii="Arial" w:hAnsi="Arial" w:cs="Arial"/>
                <w:color w:val="000000" w:themeColor="text1"/>
                <w:szCs w:val="24"/>
              </w:rPr>
              <w:t>cia do Parnaíba teve um incremento muito significativo no pagamento pela retenção de área (</w:t>
            </w:r>
            <w:r w:rsidR="003A3766" w:rsidRPr="003A3766">
              <w:rPr>
                <w:rFonts w:ascii="Arial" w:hAnsi="Arial" w:cs="Arial"/>
                <w:color w:val="000000" w:themeColor="text1"/>
                <w:szCs w:val="24"/>
                <w:u w:val="single"/>
              </w:rPr>
              <w:t>+138%</w:t>
            </w:r>
            <w:r w:rsidR="003A3766">
              <w:rPr>
                <w:rFonts w:ascii="Arial" w:hAnsi="Arial" w:cs="Arial"/>
                <w:color w:val="000000" w:themeColor="text1"/>
                <w:szCs w:val="24"/>
              </w:rPr>
              <w:t>) da 13ª Rodada para a 14ª Rodada, sendo considerada a maior diferença verificada para essa participação governamental. Para fins comparativos, houve mesmo queda do valor em outras bacias sedimentares, como Campos (-40%), Espírito Santo (-16%) e Sergipe-Alagoas (-7%). Muito embora não se deva negligenciar que, em alguns casos, o modelo exploratório</w:t>
            </w:r>
            <w:r>
              <w:rPr>
                <w:rFonts w:ascii="Arial" w:hAnsi="Arial" w:cs="Arial"/>
                <w:color w:val="000000" w:themeColor="text1"/>
                <w:szCs w:val="24"/>
              </w:rPr>
              <w:t xml:space="preserve"> não</w:t>
            </w:r>
            <w:r w:rsidR="003A3766">
              <w:rPr>
                <w:rFonts w:ascii="Arial" w:hAnsi="Arial" w:cs="Arial"/>
                <w:color w:val="000000" w:themeColor="text1"/>
                <w:szCs w:val="24"/>
              </w:rPr>
              <w:t xml:space="preserve"> permaneceu o mesmo para essas bacias, a queda </w:t>
            </w:r>
            <w:r>
              <w:rPr>
                <w:rFonts w:ascii="Arial" w:hAnsi="Arial" w:cs="Arial"/>
                <w:color w:val="000000" w:themeColor="text1"/>
                <w:szCs w:val="24"/>
              </w:rPr>
              <w:t>em Campos, por exemplo – a maior verificada –</w:t>
            </w:r>
            <w:r w:rsidR="00EB4AD2">
              <w:rPr>
                <w:rFonts w:ascii="Arial" w:hAnsi="Arial" w:cs="Arial"/>
                <w:color w:val="000000" w:themeColor="text1"/>
                <w:szCs w:val="24"/>
              </w:rPr>
              <w:t xml:space="preserve"> manteve o modelo exploratório como de “elevado potencial”, sendo uma das </w:t>
            </w:r>
            <w:r w:rsidR="00EB4AD2">
              <w:rPr>
                <w:rFonts w:ascii="Arial" w:hAnsi="Arial" w:cs="Arial"/>
                <w:color w:val="000000" w:themeColor="text1"/>
                <w:szCs w:val="24"/>
              </w:rPr>
              <w:lastRenderedPageBreak/>
              <w:t>maiores bacias produtoras de hidrocarbonetos do Brasil. Em contramão, houve a aplicação de regressividade em bacias sedimentares de nova fronteira, como o Parnaíba (+138%) e Pelotas (+79%)</w:t>
            </w:r>
            <w:r>
              <w:rPr>
                <w:rFonts w:ascii="Arial" w:hAnsi="Arial" w:cs="Arial"/>
                <w:color w:val="000000" w:themeColor="text1"/>
                <w:szCs w:val="24"/>
              </w:rPr>
              <w:t>, divergindo dos</w:t>
            </w:r>
            <w:r w:rsidR="00EB4AD2">
              <w:rPr>
                <w:rFonts w:ascii="Arial" w:hAnsi="Arial" w:cs="Arial"/>
                <w:color w:val="000000" w:themeColor="text1"/>
                <w:szCs w:val="24"/>
              </w:rPr>
              <w:t xml:space="preserve"> objetivos do REATE para revitalização das atividades terrestres.</w:t>
            </w:r>
          </w:p>
          <w:p w:rsidR="00EB4AD2" w:rsidRDefault="00EB4AD2" w:rsidP="00993CF0">
            <w:pPr>
              <w:jc w:val="both"/>
              <w:rPr>
                <w:rFonts w:ascii="Arial" w:hAnsi="Arial" w:cs="Arial"/>
                <w:color w:val="000000" w:themeColor="text1"/>
                <w:szCs w:val="24"/>
              </w:rPr>
            </w:pPr>
          </w:p>
          <w:p w:rsidR="003A3766" w:rsidRDefault="003A3766" w:rsidP="00993CF0">
            <w:pPr>
              <w:jc w:val="both"/>
              <w:rPr>
                <w:rFonts w:ascii="Arial" w:hAnsi="Arial" w:cs="Arial"/>
                <w:color w:val="000000" w:themeColor="text1"/>
                <w:szCs w:val="24"/>
              </w:rPr>
            </w:pPr>
            <w:r>
              <w:rPr>
                <w:rFonts w:ascii="Arial" w:hAnsi="Arial" w:cs="Arial"/>
                <w:color w:val="000000" w:themeColor="text1"/>
                <w:szCs w:val="24"/>
              </w:rPr>
              <w:t>Para as bacias maduras de Potiguar e Recôncavo, houve um aumento de 19% no valor</w:t>
            </w:r>
            <w:r w:rsidR="00EB4AD2">
              <w:rPr>
                <w:rFonts w:ascii="Arial" w:hAnsi="Arial" w:cs="Arial"/>
                <w:color w:val="000000" w:themeColor="text1"/>
                <w:szCs w:val="24"/>
              </w:rPr>
              <w:t xml:space="preserve">. </w:t>
            </w:r>
          </w:p>
          <w:p w:rsidR="00EB4AD2" w:rsidRDefault="00EB4AD2" w:rsidP="00993CF0">
            <w:pPr>
              <w:jc w:val="both"/>
              <w:rPr>
                <w:rFonts w:ascii="Arial" w:hAnsi="Arial" w:cs="Arial"/>
                <w:color w:val="000000" w:themeColor="text1"/>
                <w:szCs w:val="24"/>
              </w:rPr>
            </w:pPr>
          </w:p>
          <w:p w:rsidR="00EB4AD2" w:rsidRDefault="00EB4AD2" w:rsidP="00993CF0">
            <w:pPr>
              <w:jc w:val="both"/>
              <w:rPr>
                <w:rFonts w:ascii="Arial" w:hAnsi="Arial" w:cs="Arial"/>
                <w:color w:val="000000" w:themeColor="text1"/>
                <w:szCs w:val="24"/>
              </w:rPr>
            </w:pPr>
            <w:r>
              <w:rPr>
                <w:rFonts w:ascii="Arial" w:hAnsi="Arial" w:cs="Arial"/>
                <w:color w:val="000000" w:themeColor="text1"/>
                <w:szCs w:val="24"/>
              </w:rPr>
              <w:t xml:space="preserve">Na 13ª Rodada, o pagamento por retenção de áreas na bacia do Parnaíba era de R$ </w:t>
            </w:r>
            <w:r w:rsidRPr="00EB4AD2">
              <w:rPr>
                <w:rFonts w:ascii="Arial" w:hAnsi="Arial" w:cs="Arial"/>
                <w:color w:val="000000" w:themeColor="text1"/>
                <w:szCs w:val="24"/>
                <w:u w:val="single"/>
              </w:rPr>
              <w:t>176,58/km²</w:t>
            </w:r>
            <w:r>
              <w:rPr>
                <w:rFonts w:ascii="Arial" w:hAnsi="Arial" w:cs="Arial"/>
                <w:color w:val="000000" w:themeColor="text1"/>
                <w:szCs w:val="24"/>
              </w:rPr>
              <w:t xml:space="preserve">. Se ajustássemos esse valor pelo IGP-DI (índice utilizado para essa participação governamental), o valor presente seria de R$ </w:t>
            </w:r>
            <w:r w:rsidRPr="00EB4AD2">
              <w:rPr>
                <w:rFonts w:ascii="Arial" w:hAnsi="Arial" w:cs="Arial"/>
                <w:color w:val="000000" w:themeColor="text1"/>
                <w:szCs w:val="24"/>
                <w:u w:val="single"/>
              </w:rPr>
              <w:t>196,22/km²</w:t>
            </w:r>
            <w:r>
              <w:rPr>
                <w:rFonts w:ascii="Arial" w:hAnsi="Arial" w:cs="Arial"/>
                <w:color w:val="000000" w:themeColor="text1"/>
                <w:szCs w:val="24"/>
              </w:rPr>
              <w:t xml:space="preserve">. No entanto, a Tabela 2 aponta para o valor de </w:t>
            </w:r>
            <w:r w:rsidRPr="00EB4AD2">
              <w:rPr>
                <w:rFonts w:ascii="Arial" w:hAnsi="Arial" w:cs="Arial"/>
                <w:color w:val="000000" w:themeColor="text1"/>
                <w:szCs w:val="24"/>
                <w:u w:val="single"/>
              </w:rPr>
              <w:t>R$ 420,63/km²</w:t>
            </w:r>
            <w:r>
              <w:rPr>
                <w:rFonts w:ascii="Arial" w:hAnsi="Arial" w:cs="Arial"/>
                <w:color w:val="000000" w:themeColor="text1"/>
                <w:szCs w:val="24"/>
              </w:rPr>
              <w:t xml:space="preserve"> para o primeiro ano de concessão. </w:t>
            </w:r>
          </w:p>
          <w:p w:rsidR="00EB4AD2" w:rsidRDefault="00EB4AD2" w:rsidP="00993CF0">
            <w:pPr>
              <w:jc w:val="both"/>
              <w:rPr>
                <w:rFonts w:ascii="Arial" w:hAnsi="Arial" w:cs="Arial"/>
                <w:color w:val="000000" w:themeColor="text1"/>
                <w:szCs w:val="24"/>
              </w:rPr>
            </w:pPr>
          </w:p>
          <w:p w:rsidR="00EB4AD2" w:rsidRDefault="00EB4AD2" w:rsidP="00993CF0">
            <w:pPr>
              <w:jc w:val="both"/>
              <w:rPr>
                <w:rFonts w:ascii="Arial" w:hAnsi="Arial" w:cs="Arial"/>
                <w:color w:val="000000" w:themeColor="text1"/>
                <w:szCs w:val="24"/>
              </w:rPr>
            </w:pPr>
            <w:r>
              <w:rPr>
                <w:rFonts w:ascii="Arial" w:hAnsi="Arial" w:cs="Arial"/>
                <w:color w:val="000000" w:themeColor="text1"/>
                <w:szCs w:val="24"/>
              </w:rPr>
              <w:t xml:space="preserve">Para uma comparação, esse valor é muito próximo ao do pagamento por retenção de áreas para o Campo de Gavião Real no ano de 2016 (etapa de Produção, que já majora essa participação governamental): </w:t>
            </w:r>
            <w:r w:rsidRPr="00EB4AD2">
              <w:rPr>
                <w:rFonts w:ascii="Arial" w:hAnsi="Arial" w:cs="Arial"/>
                <w:color w:val="000000" w:themeColor="text1"/>
                <w:szCs w:val="24"/>
                <w:u w:val="single"/>
              </w:rPr>
              <w:t>R$ 429,88/km²</w:t>
            </w:r>
            <w:r w:rsidRPr="00EB4AD2">
              <w:rPr>
                <w:rFonts w:ascii="Arial" w:hAnsi="Arial" w:cs="Arial"/>
                <w:color w:val="000000" w:themeColor="text1"/>
                <w:szCs w:val="24"/>
              </w:rPr>
              <w:t xml:space="preserve">. </w:t>
            </w:r>
          </w:p>
          <w:p w:rsidR="00EB4AD2" w:rsidRDefault="00EB4AD2" w:rsidP="00993CF0">
            <w:pPr>
              <w:jc w:val="both"/>
              <w:rPr>
                <w:rFonts w:ascii="Arial" w:hAnsi="Arial" w:cs="Arial"/>
                <w:color w:val="000000" w:themeColor="text1"/>
                <w:szCs w:val="24"/>
              </w:rPr>
            </w:pPr>
          </w:p>
          <w:p w:rsidR="00EB4AD2" w:rsidRDefault="00EB4AD2" w:rsidP="00993CF0">
            <w:pPr>
              <w:jc w:val="both"/>
              <w:rPr>
                <w:rFonts w:ascii="Arial" w:hAnsi="Arial" w:cs="Arial"/>
                <w:color w:val="000000" w:themeColor="text1"/>
                <w:szCs w:val="24"/>
              </w:rPr>
            </w:pPr>
            <w:r>
              <w:rPr>
                <w:rFonts w:ascii="Arial" w:hAnsi="Arial" w:cs="Arial"/>
                <w:color w:val="000000" w:themeColor="text1"/>
                <w:szCs w:val="24"/>
              </w:rPr>
              <w:t>Considerando que os blocos exploratórios da Bacia do Parnaíba são consideravelmente maiores (pelo risco geológico), o valor anual dessa participação governamental ultrapassará facilmente R$ 1,3 milhão, impondo severos custos aos pequenos e médios operadores terrestres. Esse valor se aproxima, por exemplo, a todo o investimento previsto (PEM) para o bloco PN-T-145, arrematado na 13ª Rodada (R$ 1,6 milhão).</w:t>
            </w:r>
          </w:p>
          <w:p w:rsidR="00EB4AD2" w:rsidRDefault="00EB4AD2" w:rsidP="00993CF0">
            <w:pPr>
              <w:jc w:val="both"/>
              <w:rPr>
                <w:rFonts w:ascii="Arial" w:hAnsi="Arial" w:cs="Arial"/>
                <w:color w:val="000000" w:themeColor="text1"/>
                <w:szCs w:val="24"/>
              </w:rPr>
            </w:pPr>
          </w:p>
          <w:p w:rsidR="00993CF0" w:rsidRDefault="00EB4AD2" w:rsidP="00993CF0">
            <w:pPr>
              <w:jc w:val="both"/>
              <w:rPr>
                <w:rFonts w:ascii="Arial" w:hAnsi="Arial" w:cs="Arial"/>
                <w:color w:val="000000" w:themeColor="text1"/>
                <w:szCs w:val="24"/>
              </w:rPr>
            </w:pPr>
            <w:r>
              <w:rPr>
                <w:rFonts w:ascii="Arial" w:hAnsi="Arial" w:cs="Arial"/>
                <w:color w:val="000000" w:themeColor="text1"/>
                <w:szCs w:val="24"/>
              </w:rPr>
              <w:t xml:space="preserve">Para tanto, considerando os interesses dos entes federativos em promover investimentos e tornar as áreas exploratórias oferecidas como atrativas, solicitamos que o valor para retenção de áreas na Bacia do Parnaíba seja revisto utilizando o princípio da </w:t>
            </w:r>
            <w:r w:rsidR="00F85324">
              <w:rPr>
                <w:rFonts w:ascii="Arial" w:hAnsi="Arial" w:cs="Arial"/>
                <w:color w:val="000000" w:themeColor="text1"/>
                <w:szCs w:val="24"/>
              </w:rPr>
              <w:t>proporcionalidade</w:t>
            </w:r>
            <w:r>
              <w:rPr>
                <w:rFonts w:ascii="Arial" w:hAnsi="Arial" w:cs="Arial"/>
                <w:color w:val="000000" w:themeColor="text1"/>
                <w:szCs w:val="24"/>
              </w:rPr>
              <w:t>, especialmente no contexto de discrepância com o valor apresentado para a 13ª Rodada.</w:t>
            </w:r>
            <w:r w:rsidR="00993CF0">
              <w:rPr>
                <w:rFonts w:ascii="Arial" w:hAnsi="Arial" w:cs="Arial"/>
                <w:color w:val="000000" w:themeColor="text1"/>
                <w:szCs w:val="24"/>
              </w:rPr>
              <w:t xml:space="preserve"> </w:t>
            </w:r>
          </w:p>
          <w:p w:rsidR="00993CF0" w:rsidRDefault="00993CF0" w:rsidP="00993CF0">
            <w:pPr>
              <w:jc w:val="both"/>
              <w:rPr>
                <w:rFonts w:ascii="Arial" w:hAnsi="Arial" w:cs="Arial"/>
                <w:color w:val="000000" w:themeColor="text1"/>
                <w:szCs w:val="24"/>
              </w:rPr>
            </w:pPr>
          </w:p>
          <w:p w:rsidR="00DA6CC7" w:rsidRPr="00EB4AD2" w:rsidRDefault="00993CF0" w:rsidP="00993CF0">
            <w:pPr>
              <w:jc w:val="both"/>
              <w:rPr>
                <w:rFonts w:ascii="Arial" w:hAnsi="Arial" w:cs="Arial"/>
                <w:color w:val="000000" w:themeColor="text1"/>
                <w:szCs w:val="24"/>
              </w:rPr>
            </w:pPr>
            <w:r>
              <w:rPr>
                <w:rFonts w:ascii="Arial" w:hAnsi="Arial" w:cs="Arial"/>
                <w:color w:val="000000" w:themeColor="text1"/>
                <w:szCs w:val="24"/>
              </w:rPr>
              <w:t>No campo “Proposta de alteração”, optou-se por não redigir o valor proposto para a retenção de área nos setores da Bacia do Parnaíba para não interferir em uma competência exclusiva desta agência reguladora.</w:t>
            </w:r>
          </w:p>
        </w:tc>
      </w:tr>
      <w:tr w:rsidR="00776391" w:rsidRPr="000C0894" w:rsidTr="00FB378C">
        <w:trPr>
          <w:trHeight w:val="1701"/>
        </w:trPr>
        <w:tc>
          <w:tcPr>
            <w:tcW w:w="538" w:type="pct"/>
            <w:vAlign w:val="center"/>
          </w:tcPr>
          <w:p w:rsidR="00776391" w:rsidRPr="00DA6CC7" w:rsidRDefault="00776391" w:rsidP="00776391">
            <w:pPr>
              <w:pStyle w:val="Legenda"/>
              <w:spacing w:before="120" w:after="120"/>
              <w:jc w:val="center"/>
              <w:rPr>
                <w:rFonts w:cs="Arial"/>
                <w:color w:val="000000" w:themeColor="text1"/>
                <w:sz w:val="20"/>
                <w:szCs w:val="24"/>
              </w:rPr>
            </w:pPr>
            <w:r w:rsidRPr="00DA6CC7">
              <w:rPr>
                <w:rFonts w:cs="Arial"/>
                <w:color w:val="000000" w:themeColor="text1"/>
                <w:sz w:val="20"/>
                <w:szCs w:val="24"/>
              </w:rPr>
              <w:lastRenderedPageBreak/>
              <w:t>Pré-edital</w:t>
            </w:r>
          </w:p>
        </w:tc>
        <w:tc>
          <w:tcPr>
            <w:tcW w:w="538" w:type="pct"/>
            <w:vAlign w:val="center"/>
          </w:tcPr>
          <w:p w:rsidR="00776391" w:rsidRPr="00DA6CC7" w:rsidRDefault="00776391" w:rsidP="00776391">
            <w:pPr>
              <w:pStyle w:val="Legenda"/>
              <w:spacing w:before="120" w:after="120"/>
              <w:jc w:val="center"/>
              <w:rPr>
                <w:rFonts w:cs="Arial"/>
                <w:color w:val="000000" w:themeColor="text1"/>
                <w:sz w:val="20"/>
                <w:szCs w:val="24"/>
              </w:rPr>
            </w:pPr>
            <w:r w:rsidRPr="00DA6CC7">
              <w:rPr>
                <w:rFonts w:cs="Arial"/>
                <w:color w:val="000000" w:themeColor="text1"/>
                <w:sz w:val="20"/>
                <w:szCs w:val="24"/>
              </w:rPr>
              <w:t>Alteração</w:t>
            </w:r>
          </w:p>
        </w:tc>
        <w:tc>
          <w:tcPr>
            <w:tcW w:w="538" w:type="pct"/>
            <w:vAlign w:val="center"/>
          </w:tcPr>
          <w:p w:rsidR="00776391" w:rsidRPr="00DA6CC7" w:rsidRDefault="00776391" w:rsidP="00776391">
            <w:pPr>
              <w:pStyle w:val="Legenda"/>
              <w:spacing w:before="120" w:after="120"/>
              <w:jc w:val="center"/>
              <w:rPr>
                <w:rFonts w:cs="Arial"/>
                <w:color w:val="000000" w:themeColor="text1"/>
                <w:sz w:val="20"/>
                <w:szCs w:val="24"/>
              </w:rPr>
            </w:pPr>
            <w:r w:rsidRPr="00DA6CC7">
              <w:rPr>
                <w:rFonts w:cs="Arial"/>
                <w:color w:val="000000" w:themeColor="text1"/>
                <w:sz w:val="20"/>
                <w:szCs w:val="24"/>
              </w:rPr>
              <w:t xml:space="preserve">Tabela </w:t>
            </w:r>
            <w:r>
              <w:rPr>
                <w:rFonts w:cs="Arial"/>
                <w:color w:val="000000" w:themeColor="text1"/>
                <w:sz w:val="20"/>
                <w:szCs w:val="24"/>
              </w:rPr>
              <w:t>3</w:t>
            </w:r>
          </w:p>
        </w:tc>
        <w:tc>
          <w:tcPr>
            <w:tcW w:w="1747" w:type="pct"/>
            <w:vAlign w:val="center"/>
          </w:tcPr>
          <w:p w:rsidR="00776391" w:rsidRPr="00DA6CC7" w:rsidRDefault="00993CF0" w:rsidP="00776391">
            <w:pPr>
              <w:pStyle w:val="Legenda"/>
              <w:spacing w:before="120" w:after="120"/>
              <w:jc w:val="center"/>
              <w:rPr>
                <w:rFonts w:cs="Arial"/>
                <w:color w:val="000000" w:themeColor="text1"/>
                <w:sz w:val="20"/>
                <w:szCs w:val="24"/>
              </w:rPr>
            </w:pPr>
            <w:r>
              <w:rPr>
                <w:rFonts w:cs="Arial"/>
                <w:color w:val="000000" w:themeColor="text1"/>
                <w:sz w:val="20"/>
                <w:szCs w:val="24"/>
              </w:rPr>
              <w:t>Coluna “</w:t>
            </w:r>
            <w:r w:rsidR="00776391">
              <w:rPr>
                <w:rFonts w:cs="Arial"/>
                <w:color w:val="000000" w:themeColor="text1"/>
                <w:sz w:val="20"/>
                <w:szCs w:val="24"/>
              </w:rPr>
              <w:t>Alíquotas de Royalties</w:t>
            </w:r>
            <w:r w:rsidR="00776391" w:rsidRPr="00DA6CC7">
              <w:rPr>
                <w:rFonts w:cs="Arial"/>
                <w:color w:val="000000" w:themeColor="text1"/>
                <w:sz w:val="20"/>
                <w:szCs w:val="24"/>
              </w:rPr>
              <w:t xml:space="preserve"> </w:t>
            </w:r>
            <w:r w:rsidR="00776391">
              <w:rPr>
                <w:rFonts w:cs="Arial"/>
                <w:color w:val="000000" w:themeColor="text1"/>
                <w:sz w:val="20"/>
                <w:szCs w:val="24"/>
              </w:rPr>
              <w:t>para os setores da</w:t>
            </w:r>
            <w:r>
              <w:rPr>
                <w:rFonts w:cs="Arial"/>
                <w:color w:val="000000" w:themeColor="text1"/>
                <w:sz w:val="20"/>
                <w:szCs w:val="24"/>
              </w:rPr>
              <w:t xml:space="preserve"> Rodada” da Bacia do Parnaíba: 5%</w:t>
            </w:r>
            <w:r w:rsidR="003C1387">
              <w:rPr>
                <w:rFonts w:cs="Arial"/>
                <w:color w:val="000000" w:themeColor="text1"/>
                <w:sz w:val="20"/>
                <w:szCs w:val="24"/>
              </w:rPr>
              <w:t>.</w:t>
            </w:r>
            <w:bookmarkStart w:id="0" w:name="_GoBack"/>
            <w:bookmarkEnd w:id="0"/>
          </w:p>
        </w:tc>
        <w:tc>
          <w:tcPr>
            <w:tcW w:w="1639" w:type="pct"/>
            <w:vAlign w:val="center"/>
          </w:tcPr>
          <w:p w:rsidR="00D34AB6" w:rsidRDefault="00D34AB6" w:rsidP="00993CF0">
            <w:pPr>
              <w:pStyle w:val="Legenda"/>
              <w:spacing w:before="120" w:after="120"/>
              <w:jc w:val="both"/>
              <w:rPr>
                <w:rFonts w:cs="Arial"/>
                <w:color w:val="000000" w:themeColor="text1"/>
                <w:sz w:val="20"/>
                <w:szCs w:val="24"/>
              </w:rPr>
            </w:pPr>
            <w:r>
              <w:rPr>
                <w:rFonts w:cs="Arial"/>
                <w:color w:val="000000" w:themeColor="text1"/>
                <w:sz w:val="20"/>
                <w:szCs w:val="24"/>
              </w:rPr>
              <w:t xml:space="preserve">O item 2.2.2. </w:t>
            </w:r>
            <w:proofErr w:type="gramStart"/>
            <w:r>
              <w:rPr>
                <w:rFonts w:cs="Arial"/>
                <w:color w:val="000000" w:themeColor="text1"/>
                <w:sz w:val="20"/>
                <w:szCs w:val="24"/>
              </w:rPr>
              <w:t>do</w:t>
            </w:r>
            <w:proofErr w:type="gramEnd"/>
            <w:r>
              <w:rPr>
                <w:rFonts w:cs="Arial"/>
                <w:color w:val="000000" w:themeColor="text1"/>
                <w:sz w:val="20"/>
                <w:szCs w:val="24"/>
              </w:rPr>
              <w:t xml:space="preserve"> pré-edital esclarece que “</w:t>
            </w:r>
            <w:r w:rsidRPr="00D34AB6">
              <w:rPr>
                <w:rFonts w:cs="Arial"/>
                <w:i/>
                <w:color w:val="000000" w:themeColor="text1"/>
                <w:sz w:val="20"/>
                <w:szCs w:val="24"/>
              </w:rPr>
              <w:t>considerando os riscos geológicos, as expectativas de produção e outros fatores pertinentes, estabeleceu alíquotas de royalties distintas para os setores que serão ofertadas conforme Tabela 3</w:t>
            </w:r>
            <w:r>
              <w:rPr>
                <w:rFonts w:cs="Arial"/>
                <w:color w:val="000000" w:themeColor="text1"/>
                <w:sz w:val="20"/>
                <w:szCs w:val="24"/>
              </w:rPr>
              <w:t>”.</w:t>
            </w:r>
          </w:p>
          <w:p w:rsidR="007C010A" w:rsidRDefault="007C010A" w:rsidP="00993CF0">
            <w:pPr>
              <w:jc w:val="both"/>
              <w:rPr>
                <w:rFonts w:ascii="Arial" w:hAnsi="Arial" w:cs="Arial"/>
                <w:color w:val="000000" w:themeColor="text1"/>
                <w:szCs w:val="24"/>
              </w:rPr>
            </w:pPr>
            <w:r>
              <w:rPr>
                <w:rFonts w:ascii="Arial" w:hAnsi="Arial" w:cs="Arial"/>
                <w:color w:val="000000" w:themeColor="text1"/>
                <w:szCs w:val="24"/>
              </w:rPr>
              <w:t>A Tabela 3 demonstra a alíquota de royalties por setores e bacias. De acordo com Art. 47 da Lei do Petróleo (Lei nº 9478/97), a alíquota máxima incidente para royalties é de 10% d</w:t>
            </w:r>
            <w:r w:rsidR="004D1800">
              <w:rPr>
                <w:rFonts w:ascii="Arial" w:hAnsi="Arial" w:cs="Arial"/>
                <w:color w:val="000000" w:themeColor="text1"/>
                <w:szCs w:val="24"/>
              </w:rPr>
              <w:t>a produção, podendo ser reduzida</w:t>
            </w:r>
            <w:r>
              <w:rPr>
                <w:rFonts w:ascii="Arial" w:hAnsi="Arial" w:cs="Arial"/>
                <w:color w:val="000000" w:themeColor="text1"/>
                <w:szCs w:val="24"/>
              </w:rPr>
              <w:t xml:space="preserve"> pela ANP até 5%. </w:t>
            </w:r>
            <w:r w:rsidR="00A27821">
              <w:rPr>
                <w:rFonts w:ascii="Arial" w:hAnsi="Arial" w:cs="Arial"/>
                <w:color w:val="000000" w:themeColor="text1"/>
                <w:szCs w:val="24"/>
              </w:rPr>
              <w:t>Durante</w:t>
            </w:r>
            <w:r>
              <w:rPr>
                <w:rFonts w:ascii="Arial" w:hAnsi="Arial" w:cs="Arial"/>
                <w:color w:val="000000" w:themeColor="text1"/>
                <w:szCs w:val="24"/>
              </w:rPr>
              <w:t xml:space="preserve"> a 13ª Rodada, para todos os setores a alíquota de royalties era a máxima prevista em lei (10%).</w:t>
            </w:r>
          </w:p>
          <w:p w:rsidR="007C010A" w:rsidRDefault="007C010A" w:rsidP="00993CF0">
            <w:pPr>
              <w:jc w:val="both"/>
              <w:rPr>
                <w:rFonts w:ascii="Arial" w:hAnsi="Arial" w:cs="Arial"/>
                <w:color w:val="000000" w:themeColor="text1"/>
                <w:szCs w:val="24"/>
              </w:rPr>
            </w:pPr>
          </w:p>
          <w:p w:rsidR="007C010A" w:rsidRDefault="007C010A" w:rsidP="00993CF0">
            <w:pPr>
              <w:jc w:val="both"/>
              <w:rPr>
                <w:rFonts w:ascii="Arial" w:hAnsi="Arial" w:cs="Arial"/>
                <w:color w:val="000000" w:themeColor="text1"/>
                <w:szCs w:val="24"/>
              </w:rPr>
            </w:pPr>
            <w:r>
              <w:rPr>
                <w:rFonts w:ascii="Arial" w:hAnsi="Arial" w:cs="Arial"/>
                <w:color w:val="000000" w:themeColor="text1"/>
                <w:szCs w:val="24"/>
              </w:rPr>
              <w:t>Na 14ª Rodada, o pré-edital prevê a manutenção da alíquota de 10% para as bacias de Campos (elevado potencial), Espírito Santo (elevado potencial), Santos (elevado potencial), Sergipe Ala</w:t>
            </w:r>
            <w:r>
              <w:rPr>
                <w:rFonts w:ascii="Arial" w:hAnsi="Arial" w:cs="Arial"/>
                <w:color w:val="000000" w:themeColor="text1"/>
                <w:szCs w:val="24"/>
              </w:rPr>
              <w:lastRenderedPageBreak/>
              <w:t xml:space="preserve">goas (elevado potencial) e Parnaíba (nova fronteira). </w:t>
            </w:r>
            <w:r w:rsidRPr="007C010A">
              <w:rPr>
                <w:rFonts w:ascii="Arial" w:hAnsi="Arial" w:cs="Arial"/>
                <w:color w:val="000000" w:themeColor="text1"/>
                <w:szCs w:val="24"/>
                <w:u w:val="single"/>
              </w:rPr>
              <w:t>Dessa forma, a única bacia sedimentar de nova fronteira a manter a alíquota máxima</w:t>
            </w:r>
            <w:r>
              <w:rPr>
                <w:rFonts w:ascii="Arial" w:hAnsi="Arial" w:cs="Arial"/>
                <w:color w:val="000000" w:themeColor="text1"/>
                <w:szCs w:val="24"/>
                <w:u w:val="single"/>
              </w:rPr>
              <w:t xml:space="preserve"> de 10%</w:t>
            </w:r>
            <w:r w:rsidRPr="007C010A">
              <w:rPr>
                <w:rFonts w:ascii="Arial" w:hAnsi="Arial" w:cs="Arial"/>
                <w:color w:val="000000" w:themeColor="text1"/>
                <w:szCs w:val="24"/>
                <w:u w:val="single"/>
              </w:rPr>
              <w:t xml:space="preserve"> foi a Bacia do Parnaíba</w:t>
            </w:r>
            <w:r w:rsidR="00F85324">
              <w:rPr>
                <w:rFonts w:ascii="Arial" w:hAnsi="Arial" w:cs="Arial"/>
                <w:color w:val="000000" w:themeColor="text1"/>
                <w:szCs w:val="24"/>
              </w:rPr>
              <w:t>.</w:t>
            </w:r>
          </w:p>
          <w:p w:rsidR="00F85324" w:rsidRDefault="00F85324" w:rsidP="00993CF0">
            <w:pPr>
              <w:jc w:val="both"/>
              <w:rPr>
                <w:rFonts w:ascii="Arial" w:hAnsi="Arial" w:cs="Arial"/>
                <w:color w:val="000000" w:themeColor="text1"/>
                <w:szCs w:val="24"/>
              </w:rPr>
            </w:pPr>
          </w:p>
          <w:p w:rsidR="00F85324" w:rsidRDefault="00F85324" w:rsidP="00F85324">
            <w:pPr>
              <w:jc w:val="both"/>
              <w:rPr>
                <w:rFonts w:ascii="Arial" w:hAnsi="Arial" w:cs="Arial"/>
                <w:color w:val="000000" w:themeColor="text1"/>
                <w:szCs w:val="24"/>
              </w:rPr>
            </w:pPr>
            <w:r>
              <w:rPr>
                <w:rFonts w:ascii="Arial" w:hAnsi="Arial" w:cs="Arial"/>
                <w:color w:val="000000" w:themeColor="text1"/>
                <w:szCs w:val="24"/>
              </w:rPr>
              <w:t xml:space="preserve">Para as demais bacias com modelo exploratório considerado como “de nova fronteira”, a queda foi significativa: Paraná (5%) e Pelotas (5%). Ou seja, para as bacias de nova fronteira, esta Agência adotou as alíquotas mínimas previstas em lei, como forma de incentivar investimentos e considerando as especificidades inerentes à lavra terrestre em regiões pouco exploradas. </w:t>
            </w:r>
          </w:p>
          <w:p w:rsidR="007C010A" w:rsidRDefault="007C010A" w:rsidP="00993CF0">
            <w:pPr>
              <w:jc w:val="both"/>
              <w:rPr>
                <w:rFonts w:ascii="Arial" w:hAnsi="Arial" w:cs="Arial"/>
                <w:color w:val="000000" w:themeColor="text1"/>
                <w:szCs w:val="24"/>
              </w:rPr>
            </w:pPr>
          </w:p>
          <w:p w:rsidR="000D23F1" w:rsidRDefault="00F85324" w:rsidP="00993CF0">
            <w:pPr>
              <w:jc w:val="both"/>
              <w:rPr>
                <w:rFonts w:ascii="Arial" w:hAnsi="Arial" w:cs="Arial"/>
                <w:color w:val="000000" w:themeColor="text1"/>
                <w:szCs w:val="24"/>
              </w:rPr>
            </w:pPr>
            <w:r>
              <w:rPr>
                <w:rFonts w:ascii="Arial" w:hAnsi="Arial" w:cs="Arial"/>
                <w:color w:val="000000" w:themeColor="text1"/>
                <w:szCs w:val="24"/>
              </w:rPr>
              <w:t>Além disso, h</w:t>
            </w:r>
            <w:r w:rsidR="007C010A">
              <w:rPr>
                <w:rFonts w:ascii="Arial" w:hAnsi="Arial" w:cs="Arial"/>
                <w:color w:val="000000" w:themeColor="text1"/>
                <w:szCs w:val="24"/>
              </w:rPr>
              <w:t>ouve mesmo um tratamento diferenciado para bacias maduras, com queda da alíquota</w:t>
            </w:r>
            <w:r w:rsidR="000D23F1">
              <w:rPr>
                <w:rFonts w:ascii="Arial" w:hAnsi="Arial" w:cs="Arial"/>
                <w:color w:val="000000" w:themeColor="text1"/>
                <w:szCs w:val="24"/>
              </w:rPr>
              <w:t xml:space="preserve"> de royalties</w:t>
            </w:r>
            <w:r w:rsidR="007C010A">
              <w:rPr>
                <w:rFonts w:ascii="Arial" w:hAnsi="Arial" w:cs="Arial"/>
                <w:color w:val="000000" w:themeColor="text1"/>
                <w:szCs w:val="24"/>
              </w:rPr>
              <w:t>: Espírito Santo (7,5%); Potiguar (7,5%); Recôncavo (7,5%); e Sergipe-Alagoas (7,5%).</w:t>
            </w:r>
          </w:p>
          <w:p w:rsidR="000D23F1" w:rsidRDefault="000D23F1" w:rsidP="00993CF0">
            <w:pPr>
              <w:jc w:val="both"/>
              <w:rPr>
                <w:rFonts w:ascii="Arial" w:hAnsi="Arial" w:cs="Arial"/>
                <w:color w:val="000000" w:themeColor="text1"/>
                <w:szCs w:val="24"/>
              </w:rPr>
            </w:pPr>
          </w:p>
          <w:p w:rsidR="000D23F1" w:rsidRDefault="000D23F1" w:rsidP="00993CF0">
            <w:pPr>
              <w:jc w:val="both"/>
              <w:rPr>
                <w:rFonts w:ascii="Arial" w:hAnsi="Arial" w:cs="Arial"/>
                <w:color w:val="000000" w:themeColor="text1"/>
                <w:szCs w:val="24"/>
              </w:rPr>
            </w:pPr>
            <w:r>
              <w:rPr>
                <w:rFonts w:ascii="Arial" w:hAnsi="Arial" w:cs="Arial"/>
                <w:color w:val="000000" w:themeColor="text1"/>
                <w:szCs w:val="24"/>
              </w:rPr>
              <w:t>No relatório do Grupo de Trabalho do Programa de Revitalização das Atividades de Exploração e Produção de Petróleo e Gás Natural em Áreas Terrestres (“REATE”), do MME, de 03/05/17, em seu item 4.1.3 consta, como ação prioritária, “</w:t>
            </w:r>
            <w:r w:rsidRPr="000D23F1">
              <w:rPr>
                <w:rFonts w:ascii="Arial" w:hAnsi="Arial" w:cs="Arial"/>
                <w:i/>
                <w:color w:val="000000" w:themeColor="text1"/>
                <w:szCs w:val="24"/>
              </w:rPr>
              <w:t xml:space="preserve">adequar os royalties dos novos editais, considerando os riscos geológicos, tecnológicos, logísticos e econômicos </w:t>
            </w:r>
            <w:r w:rsidRPr="000D23F1">
              <w:rPr>
                <w:rFonts w:ascii="Arial" w:hAnsi="Arial" w:cs="Arial"/>
                <w:i/>
                <w:color w:val="000000" w:themeColor="text1"/>
                <w:szCs w:val="24"/>
                <w:u w:val="single"/>
              </w:rPr>
              <w:t>em áreas maduras e de novas fronteiras</w:t>
            </w:r>
            <w:r w:rsidRPr="000D23F1">
              <w:rPr>
                <w:rFonts w:ascii="Arial" w:hAnsi="Arial" w:cs="Arial"/>
                <w:i/>
                <w:color w:val="000000" w:themeColor="text1"/>
                <w:szCs w:val="24"/>
              </w:rPr>
              <w:t>, levando em consideração do parágrafo 1º do art. 47 da Lei 9.478, de 1997</w:t>
            </w:r>
            <w:r w:rsidR="00F85324">
              <w:rPr>
                <w:rFonts w:ascii="Arial" w:hAnsi="Arial" w:cs="Arial"/>
                <w:i/>
                <w:color w:val="000000" w:themeColor="text1"/>
                <w:szCs w:val="24"/>
              </w:rPr>
              <w:t>”</w:t>
            </w:r>
            <w:r w:rsidR="00F85324">
              <w:rPr>
                <w:rFonts w:ascii="Arial" w:hAnsi="Arial" w:cs="Arial"/>
                <w:color w:val="000000" w:themeColor="text1"/>
                <w:szCs w:val="24"/>
              </w:rPr>
              <w:t xml:space="preserve"> (grifo nosso)</w:t>
            </w:r>
            <w:r>
              <w:rPr>
                <w:rFonts w:ascii="Arial" w:hAnsi="Arial" w:cs="Arial"/>
                <w:color w:val="000000" w:themeColor="text1"/>
                <w:szCs w:val="24"/>
              </w:rPr>
              <w:t xml:space="preserve">. Como resultado esperado, estava a “redução da cobrança de royalties para as próximas rodadas de áreas terrestres maduras e de nova fronteira”. </w:t>
            </w:r>
            <w:r>
              <w:rPr>
                <w:rFonts w:ascii="Arial" w:hAnsi="Arial" w:cs="Arial"/>
                <w:color w:val="000000" w:themeColor="text1"/>
                <w:szCs w:val="24"/>
              </w:rPr>
              <w:lastRenderedPageBreak/>
              <w:t>Esse resultado foi constatado para todas as bacias maduras e de nova fronteira, com</w:t>
            </w:r>
            <w:r w:rsidR="00C06452">
              <w:rPr>
                <w:rFonts w:ascii="Arial" w:hAnsi="Arial" w:cs="Arial"/>
                <w:color w:val="000000" w:themeColor="text1"/>
                <w:szCs w:val="24"/>
              </w:rPr>
              <w:t xml:space="preserve"> única</w:t>
            </w:r>
            <w:r>
              <w:rPr>
                <w:rFonts w:ascii="Arial" w:hAnsi="Arial" w:cs="Arial"/>
                <w:color w:val="000000" w:themeColor="text1"/>
                <w:szCs w:val="24"/>
              </w:rPr>
              <w:t xml:space="preserve"> exceção da Bacia do Parnaíba.</w:t>
            </w:r>
          </w:p>
          <w:p w:rsidR="000D23F1" w:rsidRDefault="000D23F1" w:rsidP="00993CF0">
            <w:pPr>
              <w:jc w:val="both"/>
              <w:rPr>
                <w:rFonts w:ascii="Arial" w:hAnsi="Arial" w:cs="Arial"/>
                <w:color w:val="000000" w:themeColor="text1"/>
                <w:szCs w:val="24"/>
              </w:rPr>
            </w:pPr>
          </w:p>
          <w:p w:rsidR="00776391" w:rsidRPr="003F501F" w:rsidRDefault="000D23F1" w:rsidP="00993CF0">
            <w:pPr>
              <w:jc w:val="both"/>
              <w:rPr>
                <w:rFonts w:ascii="Arial" w:hAnsi="Arial" w:cs="Arial"/>
                <w:color w:val="000000" w:themeColor="text1"/>
                <w:szCs w:val="24"/>
              </w:rPr>
            </w:pPr>
            <w:r>
              <w:rPr>
                <w:rFonts w:ascii="Arial" w:hAnsi="Arial" w:cs="Arial"/>
                <w:color w:val="000000" w:themeColor="text1"/>
                <w:szCs w:val="24"/>
              </w:rPr>
              <w:t xml:space="preserve">Para tanto, solicitamos que haja uma reconsideração da alíquota incidente para a Bacia do Parnaíba, conforme já realizado para as demais bacias maduras e de nova fronteira, em consonância com as disposições de política energética e de promoção nacional do MME. </w:t>
            </w:r>
            <w:r w:rsidR="00993CF0">
              <w:rPr>
                <w:rFonts w:ascii="Arial" w:hAnsi="Arial" w:cs="Arial"/>
                <w:color w:val="000000" w:themeColor="text1"/>
                <w:szCs w:val="24"/>
              </w:rPr>
              <w:t>Por isonomia com as demais bacias de nova fronteira, entendemos que a alíquota incidente deveria ser de 5%.</w:t>
            </w:r>
          </w:p>
        </w:tc>
      </w:tr>
      <w:tr w:rsidR="003F501F" w:rsidRPr="000C0894" w:rsidTr="00FB378C">
        <w:trPr>
          <w:trHeight w:val="1701"/>
        </w:trPr>
        <w:tc>
          <w:tcPr>
            <w:tcW w:w="538" w:type="pct"/>
            <w:vAlign w:val="center"/>
          </w:tcPr>
          <w:p w:rsidR="003F501F" w:rsidRPr="00DA6CC7" w:rsidRDefault="003F501F" w:rsidP="00776391">
            <w:pPr>
              <w:pStyle w:val="Legenda"/>
              <w:spacing w:before="120" w:after="120"/>
              <w:jc w:val="center"/>
              <w:rPr>
                <w:rFonts w:cs="Arial"/>
                <w:color w:val="000000" w:themeColor="text1"/>
                <w:sz w:val="20"/>
                <w:szCs w:val="24"/>
              </w:rPr>
            </w:pPr>
            <w:r>
              <w:rPr>
                <w:rFonts w:cs="Arial"/>
                <w:color w:val="000000" w:themeColor="text1"/>
                <w:sz w:val="20"/>
                <w:szCs w:val="24"/>
              </w:rPr>
              <w:lastRenderedPageBreak/>
              <w:t>Minuta do Contrato</w:t>
            </w:r>
          </w:p>
        </w:tc>
        <w:tc>
          <w:tcPr>
            <w:tcW w:w="538" w:type="pct"/>
            <w:vAlign w:val="center"/>
          </w:tcPr>
          <w:p w:rsidR="003F501F" w:rsidRPr="00DA6CC7" w:rsidRDefault="003F501F" w:rsidP="00776391">
            <w:pPr>
              <w:pStyle w:val="Legenda"/>
              <w:spacing w:before="120" w:after="120"/>
              <w:jc w:val="center"/>
              <w:rPr>
                <w:rFonts w:cs="Arial"/>
                <w:color w:val="000000" w:themeColor="text1"/>
                <w:sz w:val="20"/>
                <w:szCs w:val="24"/>
              </w:rPr>
            </w:pPr>
            <w:r>
              <w:rPr>
                <w:rFonts w:cs="Arial"/>
                <w:color w:val="000000" w:themeColor="text1"/>
                <w:sz w:val="20"/>
                <w:szCs w:val="24"/>
              </w:rPr>
              <w:t>Exclusão</w:t>
            </w:r>
          </w:p>
        </w:tc>
        <w:tc>
          <w:tcPr>
            <w:tcW w:w="538" w:type="pct"/>
            <w:vAlign w:val="center"/>
          </w:tcPr>
          <w:p w:rsidR="003F501F" w:rsidRPr="00DA6CC7" w:rsidRDefault="003F501F" w:rsidP="00776391">
            <w:pPr>
              <w:pStyle w:val="Legenda"/>
              <w:spacing w:before="120" w:after="120"/>
              <w:jc w:val="center"/>
              <w:rPr>
                <w:rFonts w:cs="Arial"/>
                <w:color w:val="000000" w:themeColor="text1"/>
                <w:sz w:val="20"/>
                <w:szCs w:val="24"/>
              </w:rPr>
            </w:pPr>
            <w:r>
              <w:rPr>
                <w:rFonts w:cs="Arial"/>
                <w:color w:val="000000" w:themeColor="text1"/>
                <w:sz w:val="20"/>
                <w:szCs w:val="24"/>
              </w:rPr>
              <w:t>23.2.</w:t>
            </w:r>
          </w:p>
        </w:tc>
        <w:tc>
          <w:tcPr>
            <w:tcW w:w="1747" w:type="pct"/>
            <w:vAlign w:val="center"/>
          </w:tcPr>
          <w:p w:rsidR="003F501F" w:rsidRDefault="003F501F" w:rsidP="003F501F">
            <w:pPr>
              <w:pStyle w:val="Legenda"/>
              <w:spacing w:before="120" w:after="120"/>
              <w:jc w:val="center"/>
              <w:rPr>
                <w:rFonts w:cs="Arial"/>
                <w:color w:val="000000" w:themeColor="text1"/>
                <w:sz w:val="20"/>
                <w:szCs w:val="24"/>
              </w:rPr>
            </w:pPr>
          </w:p>
        </w:tc>
        <w:tc>
          <w:tcPr>
            <w:tcW w:w="1639" w:type="pct"/>
            <w:vAlign w:val="center"/>
          </w:tcPr>
          <w:p w:rsidR="003F501F" w:rsidRDefault="003F501F" w:rsidP="00993CF0">
            <w:pPr>
              <w:pStyle w:val="Legenda"/>
              <w:spacing w:before="120" w:after="120"/>
              <w:jc w:val="both"/>
              <w:rPr>
                <w:rFonts w:cs="Arial"/>
                <w:color w:val="000000" w:themeColor="text1"/>
                <w:sz w:val="20"/>
                <w:szCs w:val="24"/>
              </w:rPr>
            </w:pPr>
            <w:r>
              <w:rPr>
                <w:rFonts w:cs="Arial"/>
                <w:color w:val="000000" w:themeColor="text1"/>
                <w:sz w:val="20"/>
                <w:szCs w:val="24"/>
              </w:rPr>
              <w:t xml:space="preserve">O item 23.2. </w:t>
            </w:r>
            <w:proofErr w:type="gramStart"/>
            <w:r>
              <w:rPr>
                <w:rFonts w:cs="Arial"/>
                <w:color w:val="000000" w:themeColor="text1"/>
                <w:sz w:val="20"/>
                <w:szCs w:val="24"/>
              </w:rPr>
              <w:t>explicita</w:t>
            </w:r>
            <w:proofErr w:type="gramEnd"/>
            <w:r>
              <w:rPr>
                <w:rFonts w:cs="Arial"/>
                <w:color w:val="000000" w:themeColor="text1"/>
                <w:sz w:val="20"/>
                <w:szCs w:val="24"/>
              </w:rPr>
              <w:t xml:space="preserve"> que, caso os campos venham a pagar participação especial, independentemente dos valores da Tabela 2 do edital da 14ª Rodada, a alíquota de royalties será de 10%. Ocorre que não está clara a operacionalização dessa disposição. </w:t>
            </w:r>
          </w:p>
          <w:p w:rsidR="003F501F" w:rsidRDefault="003F501F" w:rsidP="00993CF0">
            <w:pPr>
              <w:jc w:val="both"/>
            </w:pPr>
          </w:p>
          <w:p w:rsidR="00B73DFA" w:rsidRDefault="003F501F" w:rsidP="00993CF0">
            <w:pPr>
              <w:jc w:val="both"/>
              <w:rPr>
                <w:rFonts w:ascii="Arial" w:hAnsi="Arial" w:cs="Arial"/>
                <w:color w:val="000000" w:themeColor="text1"/>
                <w:szCs w:val="24"/>
              </w:rPr>
            </w:pPr>
            <w:r w:rsidRPr="003F501F">
              <w:rPr>
                <w:rFonts w:ascii="Arial" w:hAnsi="Arial" w:cs="Arial"/>
                <w:color w:val="000000" w:themeColor="text1"/>
                <w:szCs w:val="24"/>
              </w:rPr>
              <w:t>Caso haja o atingimento de um</w:t>
            </w:r>
            <w:r>
              <w:rPr>
                <w:rFonts w:ascii="Arial" w:hAnsi="Arial" w:cs="Arial"/>
                <w:color w:val="000000" w:themeColor="text1"/>
                <w:szCs w:val="24"/>
              </w:rPr>
              <w:t xml:space="preserve"> determinado volume e uma receita líquida ajustada positiva em dado trimestre, será elegível o pagamento de participação especial. No entanto, se no próximo trimestre </w:t>
            </w:r>
            <w:r w:rsidR="00B73DFA">
              <w:rPr>
                <w:rFonts w:ascii="Arial" w:hAnsi="Arial" w:cs="Arial"/>
                <w:color w:val="000000" w:themeColor="text1"/>
                <w:szCs w:val="24"/>
              </w:rPr>
              <w:t xml:space="preserve">àquele do primeiro pagamento </w:t>
            </w:r>
            <w:r>
              <w:rPr>
                <w:rFonts w:ascii="Arial" w:hAnsi="Arial" w:cs="Arial"/>
                <w:color w:val="000000" w:themeColor="text1"/>
                <w:szCs w:val="24"/>
              </w:rPr>
              <w:t>o volume</w:t>
            </w:r>
            <w:r w:rsidR="00B73DFA">
              <w:rPr>
                <w:rFonts w:ascii="Arial" w:hAnsi="Arial" w:cs="Arial"/>
                <w:color w:val="000000" w:themeColor="text1"/>
                <w:szCs w:val="24"/>
              </w:rPr>
              <w:t xml:space="preserve"> mínimo</w:t>
            </w:r>
            <w:r>
              <w:rPr>
                <w:rFonts w:ascii="Arial" w:hAnsi="Arial" w:cs="Arial"/>
                <w:color w:val="000000" w:themeColor="text1"/>
                <w:szCs w:val="24"/>
              </w:rPr>
              <w:t xml:space="preserve"> de produção não for atingido</w:t>
            </w:r>
            <w:r w:rsidR="00B73DFA">
              <w:rPr>
                <w:rFonts w:ascii="Arial" w:hAnsi="Arial" w:cs="Arial"/>
                <w:color w:val="000000" w:themeColor="text1"/>
                <w:szCs w:val="24"/>
              </w:rPr>
              <w:t xml:space="preserve"> ou caso haja uma receita líquida ajustada negativa, por exemplo, a situação não ensejaria o pagamento de participação especial. </w:t>
            </w:r>
          </w:p>
          <w:p w:rsidR="00B73DFA" w:rsidRDefault="00B73DFA" w:rsidP="00993CF0">
            <w:pPr>
              <w:jc w:val="both"/>
              <w:rPr>
                <w:rFonts w:ascii="Arial" w:hAnsi="Arial" w:cs="Arial"/>
                <w:color w:val="000000" w:themeColor="text1"/>
                <w:szCs w:val="24"/>
              </w:rPr>
            </w:pPr>
          </w:p>
          <w:p w:rsidR="005725FC" w:rsidRDefault="00B73DFA" w:rsidP="00993CF0">
            <w:pPr>
              <w:jc w:val="both"/>
              <w:rPr>
                <w:rFonts w:ascii="Arial" w:hAnsi="Arial" w:cs="Arial"/>
                <w:color w:val="000000" w:themeColor="text1"/>
                <w:szCs w:val="24"/>
              </w:rPr>
            </w:pPr>
            <w:r>
              <w:rPr>
                <w:rFonts w:ascii="Arial" w:hAnsi="Arial" w:cs="Arial"/>
                <w:color w:val="000000" w:themeColor="text1"/>
                <w:szCs w:val="24"/>
              </w:rPr>
              <w:t>Pode haver casos em que um campo produtor somente pagará participação especial em um único trimestre do ano</w:t>
            </w:r>
            <w:r w:rsidR="005725FC">
              <w:rPr>
                <w:rFonts w:ascii="Arial" w:hAnsi="Arial" w:cs="Arial"/>
                <w:color w:val="000000" w:themeColor="text1"/>
                <w:szCs w:val="24"/>
              </w:rPr>
              <w:t xml:space="preserve"> ou de forma não recorrente</w:t>
            </w:r>
            <w:r>
              <w:rPr>
                <w:rFonts w:ascii="Arial" w:hAnsi="Arial" w:cs="Arial"/>
                <w:color w:val="000000" w:themeColor="text1"/>
                <w:szCs w:val="24"/>
              </w:rPr>
              <w:t xml:space="preserve">. </w:t>
            </w:r>
            <w:r>
              <w:rPr>
                <w:rFonts w:ascii="Arial" w:hAnsi="Arial" w:cs="Arial"/>
                <w:color w:val="000000" w:themeColor="text1"/>
                <w:szCs w:val="24"/>
              </w:rPr>
              <w:lastRenderedPageBreak/>
              <w:t xml:space="preserve">Neste caso, por ter tido um único trimestre de pagamento de participação especial em seu histórico, a alíquota futura dos royalties </w:t>
            </w:r>
            <w:r w:rsidR="005725FC">
              <w:rPr>
                <w:rFonts w:ascii="Arial" w:hAnsi="Arial" w:cs="Arial"/>
                <w:color w:val="000000" w:themeColor="text1"/>
                <w:szCs w:val="24"/>
              </w:rPr>
              <w:t>será</w:t>
            </w:r>
            <w:r>
              <w:rPr>
                <w:rFonts w:ascii="Arial" w:hAnsi="Arial" w:cs="Arial"/>
                <w:color w:val="000000" w:themeColor="text1"/>
                <w:szCs w:val="24"/>
              </w:rPr>
              <w:t xml:space="preserve"> sempre a de 10%? Ou </w:t>
            </w:r>
            <w:r w:rsidR="005725FC">
              <w:rPr>
                <w:rFonts w:ascii="Arial" w:hAnsi="Arial" w:cs="Arial"/>
                <w:color w:val="000000" w:themeColor="text1"/>
                <w:szCs w:val="24"/>
              </w:rPr>
              <w:t xml:space="preserve">ela </w:t>
            </w:r>
            <w:r>
              <w:rPr>
                <w:rFonts w:ascii="Arial" w:hAnsi="Arial" w:cs="Arial"/>
                <w:color w:val="000000" w:themeColor="text1"/>
                <w:szCs w:val="24"/>
              </w:rPr>
              <w:t xml:space="preserve">retornaria, após os trimestres isentos, aos valores acordados na Tabela 2? </w:t>
            </w:r>
          </w:p>
          <w:p w:rsidR="005725FC" w:rsidRDefault="005725FC" w:rsidP="00993CF0">
            <w:pPr>
              <w:jc w:val="both"/>
              <w:rPr>
                <w:rFonts w:ascii="Arial" w:hAnsi="Arial" w:cs="Arial"/>
                <w:color w:val="000000" w:themeColor="text1"/>
                <w:szCs w:val="24"/>
              </w:rPr>
            </w:pPr>
          </w:p>
          <w:p w:rsidR="00CE6CA3" w:rsidRDefault="00B73DFA" w:rsidP="00993CF0">
            <w:pPr>
              <w:jc w:val="both"/>
              <w:rPr>
                <w:rFonts w:ascii="Arial" w:hAnsi="Arial" w:cs="Arial"/>
                <w:color w:val="000000" w:themeColor="text1"/>
                <w:szCs w:val="24"/>
              </w:rPr>
            </w:pPr>
            <w:r>
              <w:rPr>
                <w:rFonts w:ascii="Arial" w:hAnsi="Arial" w:cs="Arial"/>
                <w:color w:val="000000" w:themeColor="text1"/>
                <w:szCs w:val="24"/>
              </w:rPr>
              <w:t>Vale destacar que, em caso de retificações do Demonstrativo de</w:t>
            </w:r>
            <w:r w:rsidR="00A30FA4">
              <w:rPr>
                <w:rFonts w:ascii="Arial" w:hAnsi="Arial" w:cs="Arial"/>
                <w:color w:val="000000" w:themeColor="text1"/>
                <w:szCs w:val="24"/>
              </w:rPr>
              <w:t xml:space="preserve"> Apuração de</w:t>
            </w:r>
            <w:r>
              <w:rPr>
                <w:rFonts w:ascii="Arial" w:hAnsi="Arial" w:cs="Arial"/>
                <w:color w:val="000000" w:themeColor="text1"/>
                <w:szCs w:val="24"/>
              </w:rPr>
              <w:t xml:space="preserve"> Participações Especiais (“DAPE”)</w:t>
            </w:r>
            <w:r w:rsidR="005725FC">
              <w:rPr>
                <w:rFonts w:ascii="Arial" w:hAnsi="Arial" w:cs="Arial"/>
                <w:color w:val="000000" w:themeColor="text1"/>
                <w:szCs w:val="24"/>
              </w:rPr>
              <w:t>,</w:t>
            </w:r>
            <w:r>
              <w:rPr>
                <w:rFonts w:ascii="Arial" w:hAnsi="Arial" w:cs="Arial"/>
                <w:color w:val="000000" w:themeColor="text1"/>
                <w:szCs w:val="24"/>
              </w:rPr>
              <w:t xml:space="preserve"> tanto pelo concessionário como no contexto de auditorias, as revisões dos valores poderão ensejar recontabilização de todos os royalties dos meses subsequentes, por consequência. Essa medida terá impactos para os entes federativos e poderá proporcionar altos custos de transação para a Agência.</w:t>
            </w:r>
          </w:p>
          <w:p w:rsidR="00B73DFA" w:rsidRDefault="00B73DFA" w:rsidP="00993CF0">
            <w:pPr>
              <w:jc w:val="both"/>
              <w:rPr>
                <w:rFonts w:ascii="Arial" w:hAnsi="Arial" w:cs="Arial"/>
                <w:color w:val="000000" w:themeColor="text1"/>
                <w:szCs w:val="24"/>
              </w:rPr>
            </w:pPr>
          </w:p>
          <w:p w:rsidR="003F501F" w:rsidRDefault="00B73DFA" w:rsidP="00993CF0">
            <w:pPr>
              <w:jc w:val="both"/>
              <w:rPr>
                <w:rFonts w:ascii="Arial" w:hAnsi="Arial" w:cs="Arial"/>
                <w:color w:val="000000" w:themeColor="text1"/>
                <w:szCs w:val="24"/>
              </w:rPr>
            </w:pPr>
            <w:r>
              <w:rPr>
                <w:rFonts w:ascii="Arial" w:hAnsi="Arial" w:cs="Arial"/>
                <w:color w:val="000000" w:themeColor="text1"/>
                <w:szCs w:val="24"/>
              </w:rPr>
              <w:t>Ademais, é necessário considerar a defasagem temporal existente entre royalties (mensal) e participação especial (trimestral). A operacionalização da medida, com a elevação das alíquotas de royalties após o pagamento de participação especial, ocorreria quando? No mês seguinte ao trimestre em que houve pagamento da participação especial?</w:t>
            </w:r>
          </w:p>
          <w:p w:rsidR="00CE6CA3" w:rsidRDefault="00CE6CA3" w:rsidP="00993CF0">
            <w:pPr>
              <w:jc w:val="both"/>
              <w:rPr>
                <w:rFonts w:ascii="Arial" w:hAnsi="Arial" w:cs="Arial"/>
                <w:color w:val="000000" w:themeColor="text1"/>
                <w:szCs w:val="24"/>
              </w:rPr>
            </w:pPr>
          </w:p>
          <w:p w:rsidR="00CE6CA3" w:rsidRDefault="00CE6CA3" w:rsidP="00993CF0">
            <w:pPr>
              <w:jc w:val="both"/>
              <w:rPr>
                <w:rFonts w:ascii="Arial" w:hAnsi="Arial" w:cs="Arial"/>
                <w:color w:val="000000" w:themeColor="text1"/>
                <w:szCs w:val="24"/>
              </w:rPr>
            </w:pPr>
            <w:r>
              <w:rPr>
                <w:rFonts w:ascii="Arial" w:hAnsi="Arial" w:cs="Arial"/>
                <w:color w:val="000000" w:themeColor="text1"/>
                <w:szCs w:val="24"/>
              </w:rPr>
              <w:t>Por fim, seria importante considerar a realidade</w:t>
            </w:r>
            <w:r w:rsidR="005725FC">
              <w:rPr>
                <w:rFonts w:ascii="Arial" w:hAnsi="Arial" w:cs="Arial"/>
                <w:color w:val="000000" w:themeColor="text1"/>
                <w:szCs w:val="24"/>
              </w:rPr>
              <w:t xml:space="preserve"> única</w:t>
            </w:r>
            <w:r>
              <w:rPr>
                <w:rFonts w:ascii="Arial" w:hAnsi="Arial" w:cs="Arial"/>
                <w:color w:val="000000" w:themeColor="text1"/>
                <w:szCs w:val="24"/>
              </w:rPr>
              <w:t xml:space="preserve"> de campos produtores de gás natural não-associado, que operam em regime de platô</w:t>
            </w:r>
            <w:r w:rsidR="005725FC">
              <w:rPr>
                <w:rFonts w:ascii="Arial" w:hAnsi="Arial" w:cs="Arial"/>
                <w:color w:val="000000" w:themeColor="text1"/>
                <w:szCs w:val="24"/>
              </w:rPr>
              <w:t xml:space="preserve"> – e que podem não pagar participação especial a cada trimestre</w:t>
            </w:r>
            <w:r>
              <w:rPr>
                <w:rFonts w:ascii="Arial" w:hAnsi="Arial" w:cs="Arial"/>
                <w:color w:val="000000" w:themeColor="text1"/>
                <w:szCs w:val="24"/>
              </w:rPr>
              <w:t xml:space="preserve">. </w:t>
            </w:r>
            <w:r w:rsidR="005725FC">
              <w:rPr>
                <w:rFonts w:ascii="Arial" w:hAnsi="Arial" w:cs="Arial"/>
                <w:color w:val="000000" w:themeColor="text1"/>
                <w:szCs w:val="24"/>
              </w:rPr>
              <w:t xml:space="preserve">Em projetos integrados de energia elétrica e gás natural, o nível de despacho das usinas termelétricas, centralizado pelo ONS, não está no comando do operador. Pode ocorrer, em </w:t>
            </w:r>
            <w:r w:rsidR="005725FC">
              <w:rPr>
                <w:rFonts w:ascii="Arial" w:hAnsi="Arial" w:cs="Arial"/>
                <w:color w:val="000000" w:themeColor="text1"/>
                <w:szCs w:val="24"/>
              </w:rPr>
              <w:lastRenderedPageBreak/>
              <w:t>um período seco, por exemplo, que uma determina usina seja despachada a 100%, o que irá requerer a elevada produção de um campo de gás. Naquele trimestre, considerando o volume produzido, pode haver o atingimento do volume mínimo para o pagamento de participação especial – que pode</w:t>
            </w:r>
            <w:r w:rsidR="001318CC">
              <w:rPr>
                <w:rFonts w:ascii="Arial" w:hAnsi="Arial" w:cs="Arial"/>
                <w:color w:val="000000" w:themeColor="text1"/>
                <w:szCs w:val="24"/>
              </w:rPr>
              <w:t xml:space="preserve"> tender a</w:t>
            </w:r>
            <w:r w:rsidR="005725FC">
              <w:rPr>
                <w:rFonts w:ascii="Arial" w:hAnsi="Arial" w:cs="Arial"/>
                <w:color w:val="000000" w:themeColor="text1"/>
                <w:szCs w:val="24"/>
              </w:rPr>
              <w:t xml:space="preserve"> não se repetir nos trimestres posteriores ou mesmo na vida útil do campo, se tratado aquele evento como uma condição hidrológica extraordinária e não recorrente.</w:t>
            </w:r>
          </w:p>
          <w:p w:rsidR="00CE6CA3" w:rsidRDefault="00CE6CA3" w:rsidP="00993CF0">
            <w:pPr>
              <w:jc w:val="both"/>
              <w:rPr>
                <w:rFonts w:ascii="Arial" w:hAnsi="Arial" w:cs="Arial"/>
                <w:color w:val="000000" w:themeColor="text1"/>
                <w:szCs w:val="24"/>
              </w:rPr>
            </w:pPr>
          </w:p>
          <w:p w:rsidR="00CE6CA3" w:rsidRDefault="005725FC" w:rsidP="00993CF0">
            <w:pPr>
              <w:jc w:val="both"/>
              <w:rPr>
                <w:rFonts w:ascii="Arial" w:hAnsi="Arial" w:cs="Arial"/>
                <w:color w:val="000000" w:themeColor="text1"/>
                <w:szCs w:val="24"/>
              </w:rPr>
            </w:pPr>
            <w:r>
              <w:rPr>
                <w:rFonts w:ascii="Arial" w:hAnsi="Arial" w:cs="Arial"/>
                <w:color w:val="000000" w:themeColor="text1"/>
                <w:szCs w:val="24"/>
              </w:rPr>
              <w:t>Há</w:t>
            </w:r>
            <w:r w:rsidR="00CE6CA3">
              <w:rPr>
                <w:rFonts w:ascii="Arial" w:hAnsi="Arial" w:cs="Arial"/>
                <w:color w:val="000000" w:themeColor="text1"/>
                <w:szCs w:val="24"/>
              </w:rPr>
              <w:t xml:space="preserve"> </w:t>
            </w:r>
            <w:r w:rsidR="00CE6CA3" w:rsidRPr="00CE6CA3">
              <w:rPr>
                <w:rFonts w:ascii="Arial" w:hAnsi="Arial" w:cs="Arial"/>
                <w:color w:val="000000" w:themeColor="text1"/>
                <w:szCs w:val="24"/>
              </w:rPr>
              <w:t xml:space="preserve">indiferença da </w:t>
            </w:r>
            <w:r w:rsidR="00CE6CA3">
              <w:rPr>
                <w:rFonts w:ascii="Arial" w:hAnsi="Arial" w:cs="Arial"/>
                <w:color w:val="000000" w:themeColor="text1"/>
                <w:szCs w:val="24"/>
              </w:rPr>
              <w:t>participação especial</w:t>
            </w:r>
            <w:r w:rsidR="00CE6CA3" w:rsidRPr="00CE6CA3">
              <w:rPr>
                <w:rFonts w:ascii="Arial" w:hAnsi="Arial" w:cs="Arial"/>
                <w:color w:val="000000" w:themeColor="text1"/>
                <w:szCs w:val="24"/>
              </w:rPr>
              <w:t xml:space="preserve"> quanto ao hidrocarboneto extraído (óleo ou gás natural). As acumulaç</w:t>
            </w:r>
            <w:r w:rsidR="00CE6CA3">
              <w:rPr>
                <w:rFonts w:ascii="Arial" w:hAnsi="Arial" w:cs="Arial"/>
                <w:color w:val="000000" w:themeColor="text1"/>
                <w:szCs w:val="24"/>
              </w:rPr>
              <w:t>ões de óleo normalmente apre</w:t>
            </w:r>
            <w:r w:rsidR="00CE6CA3" w:rsidRPr="00CE6CA3">
              <w:rPr>
                <w:rFonts w:ascii="Arial" w:hAnsi="Arial" w:cs="Arial"/>
                <w:color w:val="000000" w:themeColor="text1"/>
                <w:szCs w:val="24"/>
              </w:rPr>
              <w:t>sentam uma curva de produção com pico e declínio (curva log normal), enquanto a curva de produção de gás não-associado segue um padrão de</w:t>
            </w:r>
            <w:r w:rsidR="00CE6CA3">
              <w:rPr>
                <w:rFonts w:ascii="Arial" w:hAnsi="Arial" w:cs="Arial"/>
                <w:color w:val="000000" w:themeColor="text1"/>
                <w:szCs w:val="24"/>
              </w:rPr>
              <w:t xml:space="preserve"> platô (volume de produção cons</w:t>
            </w:r>
            <w:r w:rsidR="00CE6CA3" w:rsidRPr="00CE6CA3">
              <w:rPr>
                <w:rFonts w:ascii="Arial" w:hAnsi="Arial" w:cs="Arial"/>
                <w:color w:val="000000" w:themeColor="text1"/>
                <w:szCs w:val="24"/>
              </w:rPr>
              <w:t xml:space="preserve">tante ao longo dos primeiros anos), seguido de declínio. A fórmula do cálculo da </w:t>
            </w:r>
            <w:r>
              <w:rPr>
                <w:rFonts w:ascii="Arial" w:hAnsi="Arial" w:cs="Arial"/>
                <w:color w:val="000000" w:themeColor="text1"/>
                <w:szCs w:val="24"/>
              </w:rPr>
              <w:t>participação especial</w:t>
            </w:r>
            <w:r w:rsidR="00CE6CA3" w:rsidRPr="00CE6CA3">
              <w:rPr>
                <w:rFonts w:ascii="Arial" w:hAnsi="Arial" w:cs="Arial"/>
                <w:color w:val="000000" w:themeColor="text1"/>
                <w:szCs w:val="24"/>
              </w:rPr>
              <w:t xml:space="preserve"> vigente incentiva os produtor</w:t>
            </w:r>
            <w:r>
              <w:rPr>
                <w:rFonts w:ascii="Arial" w:hAnsi="Arial" w:cs="Arial"/>
                <w:color w:val="000000" w:themeColor="text1"/>
                <w:szCs w:val="24"/>
              </w:rPr>
              <w:t>es de óleo a anteciparem seu pi</w:t>
            </w:r>
            <w:r w:rsidR="00CE6CA3" w:rsidRPr="00CE6CA3">
              <w:rPr>
                <w:rFonts w:ascii="Arial" w:hAnsi="Arial" w:cs="Arial"/>
                <w:color w:val="000000" w:themeColor="text1"/>
                <w:szCs w:val="24"/>
              </w:rPr>
              <w:t>co de produção, pois a tabela de vo</w:t>
            </w:r>
            <w:r>
              <w:rPr>
                <w:rFonts w:ascii="Arial" w:hAnsi="Arial" w:cs="Arial"/>
                <w:color w:val="000000" w:themeColor="text1"/>
                <w:szCs w:val="24"/>
              </w:rPr>
              <w:t>lumes mínimos para pagamento</w:t>
            </w:r>
            <w:r w:rsidR="00CE6CA3" w:rsidRPr="00CE6CA3">
              <w:rPr>
                <w:rFonts w:ascii="Arial" w:hAnsi="Arial" w:cs="Arial"/>
                <w:color w:val="000000" w:themeColor="text1"/>
                <w:szCs w:val="24"/>
              </w:rPr>
              <w:t xml:space="preserve"> é decrescente, tendo o maior volume mínimo no primeiro ano, e diminuindo até o quarto ano de produção em diante.</w:t>
            </w:r>
          </w:p>
          <w:p w:rsidR="005725FC" w:rsidRPr="00CE6CA3" w:rsidRDefault="005725FC" w:rsidP="00993CF0">
            <w:pPr>
              <w:jc w:val="both"/>
              <w:rPr>
                <w:rFonts w:ascii="Arial" w:hAnsi="Arial" w:cs="Arial"/>
                <w:color w:val="000000" w:themeColor="text1"/>
                <w:szCs w:val="24"/>
              </w:rPr>
            </w:pPr>
            <w:r>
              <w:rPr>
                <w:rFonts w:ascii="Arial" w:hAnsi="Arial" w:cs="Arial"/>
                <w:color w:val="000000" w:themeColor="text1"/>
                <w:szCs w:val="24"/>
              </w:rPr>
              <w:t xml:space="preserve"> </w:t>
            </w:r>
          </w:p>
        </w:tc>
      </w:tr>
      <w:tr w:rsidR="00DE09D2" w:rsidRPr="000C0894" w:rsidTr="00FB378C">
        <w:trPr>
          <w:trHeight w:val="1701"/>
        </w:trPr>
        <w:tc>
          <w:tcPr>
            <w:tcW w:w="538" w:type="pct"/>
            <w:vAlign w:val="center"/>
          </w:tcPr>
          <w:p w:rsidR="00DE09D2" w:rsidRDefault="00DE09D2" w:rsidP="00776391">
            <w:pPr>
              <w:pStyle w:val="Legenda"/>
              <w:spacing w:before="120" w:after="120"/>
              <w:jc w:val="center"/>
              <w:rPr>
                <w:rFonts w:cs="Arial"/>
                <w:color w:val="000000" w:themeColor="text1"/>
                <w:sz w:val="20"/>
                <w:szCs w:val="24"/>
              </w:rPr>
            </w:pPr>
            <w:r>
              <w:rPr>
                <w:rFonts w:cs="Arial"/>
                <w:color w:val="000000" w:themeColor="text1"/>
                <w:sz w:val="20"/>
                <w:szCs w:val="24"/>
              </w:rPr>
              <w:lastRenderedPageBreak/>
              <w:t xml:space="preserve">Minuta do Contrato </w:t>
            </w:r>
          </w:p>
        </w:tc>
        <w:tc>
          <w:tcPr>
            <w:tcW w:w="538" w:type="pct"/>
            <w:vAlign w:val="center"/>
          </w:tcPr>
          <w:p w:rsidR="00DE09D2" w:rsidRDefault="00DE09D2" w:rsidP="00776391">
            <w:pPr>
              <w:pStyle w:val="Legenda"/>
              <w:spacing w:before="120" w:after="120"/>
              <w:jc w:val="center"/>
              <w:rPr>
                <w:rFonts w:cs="Arial"/>
                <w:color w:val="000000" w:themeColor="text1"/>
                <w:sz w:val="20"/>
                <w:szCs w:val="24"/>
              </w:rPr>
            </w:pPr>
            <w:r>
              <w:rPr>
                <w:rFonts w:cs="Arial"/>
                <w:color w:val="000000" w:themeColor="text1"/>
                <w:sz w:val="20"/>
                <w:szCs w:val="24"/>
              </w:rPr>
              <w:t>Inclusão</w:t>
            </w:r>
          </w:p>
        </w:tc>
        <w:tc>
          <w:tcPr>
            <w:tcW w:w="538" w:type="pct"/>
            <w:vAlign w:val="center"/>
          </w:tcPr>
          <w:p w:rsidR="00DE09D2" w:rsidRDefault="00DE09D2" w:rsidP="00776391">
            <w:pPr>
              <w:pStyle w:val="Legenda"/>
              <w:spacing w:before="120" w:after="120"/>
              <w:jc w:val="center"/>
              <w:rPr>
                <w:rFonts w:cs="Arial"/>
                <w:color w:val="000000" w:themeColor="text1"/>
                <w:sz w:val="20"/>
                <w:szCs w:val="24"/>
              </w:rPr>
            </w:pPr>
            <w:r>
              <w:rPr>
                <w:rFonts w:cs="Arial"/>
                <w:color w:val="000000" w:themeColor="text1"/>
                <w:sz w:val="20"/>
                <w:szCs w:val="24"/>
              </w:rPr>
              <w:t>11.2.2.</w:t>
            </w:r>
          </w:p>
        </w:tc>
        <w:tc>
          <w:tcPr>
            <w:tcW w:w="1747" w:type="pct"/>
            <w:vAlign w:val="center"/>
          </w:tcPr>
          <w:p w:rsidR="00DE09D2" w:rsidRDefault="00993CF0" w:rsidP="00DE09D2">
            <w:pPr>
              <w:pStyle w:val="Legenda"/>
              <w:spacing w:before="120" w:after="120"/>
              <w:jc w:val="both"/>
              <w:rPr>
                <w:rFonts w:cs="Arial"/>
                <w:color w:val="000000" w:themeColor="text1"/>
                <w:sz w:val="20"/>
                <w:szCs w:val="24"/>
              </w:rPr>
            </w:pPr>
            <w:r>
              <w:rPr>
                <w:rFonts w:cs="Arial"/>
                <w:color w:val="000000" w:themeColor="text1"/>
                <w:sz w:val="20"/>
                <w:szCs w:val="24"/>
              </w:rPr>
              <w:t xml:space="preserve">11.2.2. </w:t>
            </w:r>
            <w:r w:rsidR="00DE09D2" w:rsidRPr="00DE09D2">
              <w:rPr>
                <w:rFonts w:cs="Arial"/>
                <w:color w:val="000000" w:themeColor="text1"/>
                <w:sz w:val="20"/>
                <w:szCs w:val="24"/>
              </w:rPr>
              <w:t xml:space="preserve">Caso o volume de gás natural produzido em um Campo seja destinado exclusivamente para fins de geração de energia em usinas termoelétricas, a variação mensal do volume produzido em tal Campo também poderá ser igual ou superior a 10% (dez por cento) do volume previsto no Programa Anual de </w:t>
            </w:r>
            <w:r w:rsidR="00DE09D2" w:rsidRPr="00DE09D2">
              <w:rPr>
                <w:rFonts w:cs="Arial"/>
                <w:color w:val="000000" w:themeColor="text1"/>
                <w:sz w:val="20"/>
                <w:szCs w:val="24"/>
              </w:rPr>
              <w:lastRenderedPageBreak/>
              <w:t>Produção. As variações máximas e mínimas de produção de tal Campo deverão ser devidamente fundamentadas em Plano de Desenvolvimento, nos termos estab</w:t>
            </w:r>
            <w:r w:rsidR="00DE09D2">
              <w:rPr>
                <w:rFonts w:cs="Arial"/>
                <w:color w:val="000000" w:themeColor="text1"/>
                <w:sz w:val="20"/>
                <w:szCs w:val="24"/>
              </w:rPr>
              <w:t>elecidos pela Cláusula Décima.</w:t>
            </w:r>
          </w:p>
        </w:tc>
        <w:tc>
          <w:tcPr>
            <w:tcW w:w="1639" w:type="pct"/>
            <w:vAlign w:val="center"/>
          </w:tcPr>
          <w:p w:rsidR="00DE09D2" w:rsidRDefault="00DE09D2" w:rsidP="00993CF0">
            <w:pPr>
              <w:pStyle w:val="Legenda"/>
              <w:spacing w:before="120" w:after="120"/>
              <w:jc w:val="both"/>
              <w:rPr>
                <w:rFonts w:cs="Arial"/>
                <w:color w:val="000000" w:themeColor="text1"/>
                <w:sz w:val="20"/>
                <w:szCs w:val="24"/>
              </w:rPr>
            </w:pPr>
            <w:r w:rsidRPr="00DE09D2">
              <w:rPr>
                <w:rFonts w:cs="Arial"/>
                <w:color w:val="000000" w:themeColor="text1"/>
                <w:sz w:val="20"/>
                <w:szCs w:val="24"/>
              </w:rPr>
              <w:lastRenderedPageBreak/>
              <w:t>Em projetos de exploração e produção de gás natural monetizados através do modelo reservoir-to-wire há influência exógena da programação pelo Operador Nacional do Sistema (ONS), levando em conta variações de despacho por condições climáticas. Nesse contexto, podem ocorrer varia</w:t>
            </w:r>
            <w:r w:rsidRPr="00DE09D2">
              <w:rPr>
                <w:rFonts w:cs="Arial"/>
                <w:color w:val="000000" w:themeColor="text1"/>
                <w:sz w:val="20"/>
                <w:szCs w:val="24"/>
              </w:rPr>
              <w:lastRenderedPageBreak/>
              <w:t xml:space="preserve">ções significativas no volume produzido em comparação ao previsto no Programa Anual de Produção, comumente excedendo os 10% indicados no item 11.2. Essa variação está fora da esfera de controle e previsibilidade do concessionário, portanto não pode ser prevista de forma acurada no Programa Anual de Produção. Essa assertiva pode ser facilmente verificada através de análise das tabelas de despacho termoelétrico a partir do gás, disponibilizadas pelo ONS em </w:t>
            </w:r>
            <w:hyperlink r:id="rId8" w:history="1">
              <w:r w:rsidRPr="001E21EC">
                <w:rPr>
                  <w:rStyle w:val="Hyperlink"/>
                  <w:rFonts w:cs="Arial"/>
                  <w:sz w:val="20"/>
                  <w:szCs w:val="24"/>
                </w:rPr>
                <w:t>http://www.ons.org.br/publicacao/ipdo/</w:t>
              </w:r>
            </w:hyperlink>
            <w:r>
              <w:rPr>
                <w:rFonts w:cs="Arial"/>
                <w:color w:val="000000" w:themeColor="text1"/>
                <w:sz w:val="20"/>
                <w:szCs w:val="24"/>
              </w:rPr>
              <w:t>.</w:t>
            </w:r>
          </w:p>
          <w:p w:rsidR="00DE09D2" w:rsidRDefault="00DE09D2" w:rsidP="00993CF0">
            <w:pPr>
              <w:pStyle w:val="Legenda"/>
              <w:spacing w:before="120" w:after="120"/>
              <w:jc w:val="both"/>
              <w:rPr>
                <w:rFonts w:cs="Arial"/>
                <w:color w:val="000000" w:themeColor="text1"/>
                <w:sz w:val="20"/>
                <w:szCs w:val="24"/>
              </w:rPr>
            </w:pPr>
            <w:r w:rsidRPr="00DE09D2">
              <w:rPr>
                <w:rFonts w:cs="Arial"/>
                <w:color w:val="000000" w:themeColor="text1"/>
                <w:sz w:val="20"/>
                <w:szCs w:val="24"/>
              </w:rPr>
              <w:t xml:space="preserve">Considerando a importância - apontada em documentos como a contribuição do Grupo de Trabalho de Política Energética para as Atividades de E&amp;P de P&amp;G (CNPE, 2017) e do Grupo de Trabalho do Programa de Revitalização das Atividades de Exploração e Produção de Petróleo e Gás Natural em Áreas Terrestres (SPG/MME, 2017) - de replicar o modelo reservoir-to-wire para promover o sucesso exploratório em áreas remotas ou de fronteira exploratória, é fundamental que esta particularidade importante da referida estratégia de monetização de gás natural não seja tratada apenas como caso excepcional pelo contrato de concessão, merecendo tratamento específico.   </w:t>
            </w:r>
          </w:p>
        </w:tc>
      </w:tr>
    </w:tbl>
    <w:p w:rsidR="006E3142" w:rsidRPr="000C0894" w:rsidRDefault="006E3142" w:rsidP="00FB378C">
      <w:pPr>
        <w:pStyle w:val="Legenda"/>
        <w:spacing w:before="120" w:after="120" w:line="360" w:lineRule="auto"/>
        <w:jc w:val="both"/>
        <w:rPr>
          <w:rFonts w:cs="Arial"/>
          <w:b/>
          <w:szCs w:val="24"/>
        </w:rPr>
      </w:pPr>
    </w:p>
    <w:p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rsidR="008A590E" w:rsidRPr="008A590E" w:rsidRDefault="006E3142" w:rsidP="00B27481">
      <w:pPr>
        <w:pStyle w:val="Legenda"/>
        <w:spacing w:before="120" w:after="120" w:line="360" w:lineRule="auto"/>
        <w:jc w:val="both"/>
        <w:rPr>
          <w:rFonts w:cs="Arial"/>
          <w:szCs w:val="24"/>
        </w:rPr>
      </w:pPr>
      <w:r w:rsidRPr="000C0894">
        <w:rPr>
          <w:rFonts w:cs="Arial"/>
          <w:szCs w:val="24"/>
        </w:rPr>
        <w:lastRenderedPageBreak/>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 xml:space="preserve">17 horas do </w:t>
      </w:r>
      <w:r w:rsidRPr="009403DB">
        <w:rPr>
          <w:rFonts w:eastAsia="PMingLiU" w:cs="Arial"/>
          <w:b/>
          <w:color w:val="000000"/>
          <w:szCs w:val="24"/>
        </w:rPr>
        <w:t xml:space="preserve">dia </w:t>
      </w:r>
      <w:r w:rsidR="002A1E27">
        <w:rPr>
          <w:rFonts w:eastAsia="PMingLiU" w:cs="Arial"/>
          <w:b/>
          <w:color w:val="000000"/>
          <w:szCs w:val="24"/>
        </w:rPr>
        <w:t>19</w:t>
      </w:r>
      <w:r w:rsidRPr="009403DB">
        <w:rPr>
          <w:rFonts w:eastAsia="PMingLiU" w:cs="Arial"/>
          <w:b/>
          <w:color w:val="000000"/>
          <w:szCs w:val="24"/>
        </w:rPr>
        <w:t xml:space="preserve"> de </w:t>
      </w:r>
      <w:r w:rsidR="009403DB" w:rsidRPr="009403DB">
        <w:rPr>
          <w:rFonts w:eastAsia="PMingLiU" w:cs="Arial"/>
          <w:b/>
          <w:color w:val="000000"/>
          <w:szCs w:val="24"/>
        </w:rPr>
        <w:t>ju</w:t>
      </w:r>
      <w:r w:rsidR="002A1E27">
        <w:rPr>
          <w:rFonts w:eastAsia="PMingLiU" w:cs="Arial"/>
          <w:b/>
          <w:color w:val="000000"/>
          <w:szCs w:val="24"/>
        </w:rPr>
        <w:t>n</w:t>
      </w:r>
      <w:r w:rsidR="009403DB" w:rsidRPr="009403DB">
        <w:rPr>
          <w:rFonts w:eastAsia="PMingLiU" w:cs="Arial"/>
          <w:b/>
          <w:color w:val="000000"/>
          <w:szCs w:val="24"/>
        </w:rPr>
        <w:t>ho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9"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p>
    <w:p w:rsidR="003F501F" w:rsidRPr="003F501F" w:rsidRDefault="003F501F" w:rsidP="003F501F">
      <w:pPr>
        <w:jc w:val="both"/>
        <w:rPr>
          <w:rFonts w:cs="Arial"/>
        </w:rPr>
      </w:pPr>
    </w:p>
    <w:p w:rsidR="00764EB1" w:rsidRPr="003F501F" w:rsidRDefault="00764EB1" w:rsidP="003F501F">
      <w:pPr>
        <w:pStyle w:val="Legenda"/>
        <w:spacing w:before="120" w:after="120" w:line="360" w:lineRule="auto"/>
        <w:jc w:val="center"/>
        <w:rPr>
          <w:rFonts w:cs="Arial"/>
        </w:rPr>
      </w:pPr>
    </w:p>
    <w:sectPr w:rsidR="00764EB1" w:rsidRPr="003F501F" w:rsidSect="00FB378C">
      <w:headerReference w:type="default" r:id="rId10"/>
      <w:footerReference w:type="default" r:id="rId11"/>
      <w:headerReference w:type="first" r:id="rId12"/>
      <w:footerReference w:type="first" r:id="rId13"/>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C41" w:rsidRDefault="00236C41" w:rsidP="00842086">
      <w:r>
        <w:separator/>
      </w:r>
    </w:p>
  </w:endnote>
  <w:endnote w:type="continuationSeparator" w:id="0">
    <w:p w:rsidR="00236C41" w:rsidRDefault="00236C41"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3C1387">
      <w:rPr>
        <w:noProof/>
      </w:rPr>
      <w:t>10</w:t>
    </w:r>
    <w:r>
      <w:fldChar w:fldCharType="end"/>
    </w:r>
  </w:p>
  <w:p w:rsidR="005C4925" w:rsidRDefault="005C492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1D0C9E">
      <w:rPr>
        <w:noProof/>
      </w:rPr>
      <w:t>1</w:t>
    </w:r>
    <w:r>
      <w:fldChar w:fldCharType="end"/>
    </w:r>
  </w:p>
  <w:p w:rsidR="005C4925" w:rsidRDefault="005C49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C41" w:rsidRDefault="00236C41" w:rsidP="00842086">
      <w:r>
        <w:separator/>
      </w:r>
    </w:p>
  </w:footnote>
  <w:footnote w:type="continuationSeparator" w:id="0">
    <w:p w:rsidR="00236C41" w:rsidRDefault="00236C41"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5C4925"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3967EB"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3967EB" w:rsidRPr="0036380F" w:rsidRDefault="00A51516"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0C0815" w:rsidRPr="000C0815">
            <w:rPr>
              <w:rFonts w:ascii="Arial" w:hAnsi="Arial" w:cs="Arial"/>
              <w:noProof/>
              <w:sz w:val="24"/>
              <w:szCs w:val="24"/>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3967EB" w:rsidRPr="00B27481" w:rsidRDefault="003967EB"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F34DFC">
            <w:rPr>
              <w:rFonts w:ascii="Arial" w:hAnsi="Arial" w:cs="Arial"/>
              <w:b/>
              <w:sz w:val="28"/>
              <w:szCs w:val="28"/>
            </w:rPr>
            <w:t>09</w:t>
          </w:r>
          <w:r w:rsidRPr="00B27481">
            <w:rPr>
              <w:rFonts w:ascii="Arial" w:hAnsi="Arial" w:cs="Arial"/>
              <w:b/>
              <w:sz w:val="28"/>
              <w:szCs w:val="28"/>
            </w:rPr>
            <w:t>/201</w:t>
          </w:r>
          <w:r w:rsidR="002A1E27">
            <w:rPr>
              <w:rFonts w:ascii="Arial" w:hAnsi="Arial" w:cs="Arial"/>
              <w:b/>
              <w:sz w:val="28"/>
              <w:szCs w:val="28"/>
            </w:rPr>
            <w:t>7</w:t>
          </w:r>
        </w:p>
        <w:p w:rsidR="003967EB" w:rsidRPr="00B27481" w:rsidRDefault="003967EB"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C0815"/>
    <w:rsid w:val="000C0894"/>
    <w:rsid w:val="000C7F3F"/>
    <w:rsid w:val="000D23F1"/>
    <w:rsid w:val="000E6393"/>
    <w:rsid w:val="00103946"/>
    <w:rsid w:val="001318CC"/>
    <w:rsid w:val="00193747"/>
    <w:rsid w:val="001965B6"/>
    <w:rsid w:val="001B0976"/>
    <w:rsid w:val="001D0C9E"/>
    <w:rsid w:val="002158EA"/>
    <w:rsid w:val="0022423B"/>
    <w:rsid w:val="00236C41"/>
    <w:rsid w:val="00256685"/>
    <w:rsid w:val="00264138"/>
    <w:rsid w:val="00277571"/>
    <w:rsid w:val="002A1E27"/>
    <w:rsid w:val="00300B92"/>
    <w:rsid w:val="00314BDB"/>
    <w:rsid w:val="00327F69"/>
    <w:rsid w:val="0036380F"/>
    <w:rsid w:val="003967EB"/>
    <w:rsid w:val="003A3766"/>
    <w:rsid w:val="003B7B4E"/>
    <w:rsid w:val="003C1387"/>
    <w:rsid w:val="003D5BFF"/>
    <w:rsid w:val="003D6CBE"/>
    <w:rsid w:val="003F501F"/>
    <w:rsid w:val="0040140A"/>
    <w:rsid w:val="00412AA7"/>
    <w:rsid w:val="00471ADB"/>
    <w:rsid w:val="004A005A"/>
    <w:rsid w:val="004B7788"/>
    <w:rsid w:val="004C0021"/>
    <w:rsid w:val="004D1800"/>
    <w:rsid w:val="004D421E"/>
    <w:rsid w:val="004F050F"/>
    <w:rsid w:val="0052205D"/>
    <w:rsid w:val="005600AD"/>
    <w:rsid w:val="0056683F"/>
    <w:rsid w:val="005725FC"/>
    <w:rsid w:val="005B3CEF"/>
    <w:rsid w:val="005B7D75"/>
    <w:rsid w:val="005C4925"/>
    <w:rsid w:val="005C5B4E"/>
    <w:rsid w:val="005D7856"/>
    <w:rsid w:val="00605710"/>
    <w:rsid w:val="00615A71"/>
    <w:rsid w:val="0062557C"/>
    <w:rsid w:val="00640487"/>
    <w:rsid w:val="00675939"/>
    <w:rsid w:val="006E3142"/>
    <w:rsid w:val="006E7756"/>
    <w:rsid w:val="006F3664"/>
    <w:rsid w:val="007178AA"/>
    <w:rsid w:val="0072285E"/>
    <w:rsid w:val="00764EB1"/>
    <w:rsid w:val="007662D7"/>
    <w:rsid w:val="00776391"/>
    <w:rsid w:val="007C010A"/>
    <w:rsid w:val="007E2560"/>
    <w:rsid w:val="007F7936"/>
    <w:rsid w:val="0083277E"/>
    <w:rsid w:val="00842086"/>
    <w:rsid w:val="008500E0"/>
    <w:rsid w:val="00854EE5"/>
    <w:rsid w:val="008675C5"/>
    <w:rsid w:val="00883495"/>
    <w:rsid w:val="008A590E"/>
    <w:rsid w:val="008E7D7F"/>
    <w:rsid w:val="00913328"/>
    <w:rsid w:val="0092578B"/>
    <w:rsid w:val="009271A8"/>
    <w:rsid w:val="00932C2C"/>
    <w:rsid w:val="009403DB"/>
    <w:rsid w:val="00993CF0"/>
    <w:rsid w:val="0099566E"/>
    <w:rsid w:val="00A27821"/>
    <w:rsid w:val="00A30FA4"/>
    <w:rsid w:val="00A51516"/>
    <w:rsid w:val="00A621DA"/>
    <w:rsid w:val="00A816D5"/>
    <w:rsid w:val="00A91CC2"/>
    <w:rsid w:val="00AC3176"/>
    <w:rsid w:val="00AC75F7"/>
    <w:rsid w:val="00AC7BE3"/>
    <w:rsid w:val="00AE02B1"/>
    <w:rsid w:val="00B13EFD"/>
    <w:rsid w:val="00B25C8F"/>
    <w:rsid w:val="00B27481"/>
    <w:rsid w:val="00B40F4C"/>
    <w:rsid w:val="00B43186"/>
    <w:rsid w:val="00B73DFA"/>
    <w:rsid w:val="00BA2AA9"/>
    <w:rsid w:val="00BA4C9C"/>
    <w:rsid w:val="00BC1BBC"/>
    <w:rsid w:val="00BE0221"/>
    <w:rsid w:val="00C06452"/>
    <w:rsid w:val="00C102D5"/>
    <w:rsid w:val="00C44A37"/>
    <w:rsid w:val="00C57F32"/>
    <w:rsid w:val="00C85228"/>
    <w:rsid w:val="00C855A3"/>
    <w:rsid w:val="00CA289A"/>
    <w:rsid w:val="00CE6CA3"/>
    <w:rsid w:val="00CF02E6"/>
    <w:rsid w:val="00CF2944"/>
    <w:rsid w:val="00D34AB6"/>
    <w:rsid w:val="00DA6CC7"/>
    <w:rsid w:val="00DE09D2"/>
    <w:rsid w:val="00E05AB8"/>
    <w:rsid w:val="00E548B4"/>
    <w:rsid w:val="00E61393"/>
    <w:rsid w:val="00E91A45"/>
    <w:rsid w:val="00EA1DC4"/>
    <w:rsid w:val="00EB4AD2"/>
    <w:rsid w:val="00ED28BC"/>
    <w:rsid w:val="00EF4AFC"/>
    <w:rsid w:val="00F34DFC"/>
    <w:rsid w:val="00F503A5"/>
    <w:rsid w:val="00F63177"/>
    <w:rsid w:val="00F637D7"/>
    <w:rsid w:val="00F85324"/>
    <w:rsid w:val="00FA7129"/>
    <w:rsid w:val="00FB378C"/>
    <w:rsid w:val="00FE67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228905">
      <w:bodyDiv w:val="1"/>
      <w:marLeft w:val="0"/>
      <w:marRight w:val="0"/>
      <w:marTop w:val="0"/>
      <w:marBottom w:val="0"/>
      <w:divBdr>
        <w:top w:val="none" w:sz="0" w:space="0" w:color="auto"/>
        <w:left w:val="none" w:sz="0" w:space="0" w:color="auto"/>
        <w:bottom w:val="none" w:sz="0" w:space="0" w:color="auto"/>
        <w:right w:val="none" w:sz="0" w:space="0" w:color="auto"/>
      </w:divBdr>
    </w:div>
    <w:div w:id="54961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s.org.br/publicacao/ip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dadas@anp.gov.b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8E01FF-89AA-41AC-AB17-A0FEE3E0C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1985</Words>
  <Characters>10720</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12680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Lucas Ribeiro</cp:lastModifiedBy>
  <cp:revision>18</cp:revision>
  <cp:lastPrinted>2017-06-19T18:32:00Z</cp:lastPrinted>
  <dcterms:created xsi:type="dcterms:W3CDTF">2017-05-17T14:17:00Z</dcterms:created>
  <dcterms:modified xsi:type="dcterms:W3CDTF">2017-06-19T19:04:00Z</dcterms:modified>
</cp:coreProperties>
</file>